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76" w:type="dxa"/>
        <w:tblInd w:w="-275" w:type="dxa"/>
        <w:tblLook w:val="04A0" w:firstRow="1" w:lastRow="0" w:firstColumn="1" w:lastColumn="0" w:noHBand="0" w:noVBand="1"/>
      </w:tblPr>
      <w:tblGrid>
        <w:gridCol w:w="7526"/>
        <w:gridCol w:w="7650"/>
      </w:tblGrid>
      <w:tr w:rsidR="003A3671" w:rsidRPr="00941893" w14:paraId="5C201B58" w14:textId="77777777" w:rsidTr="003A3671">
        <w:trPr>
          <w:trHeight w:val="10520"/>
        </w:trPr>
        <w:tc>
          <w:tcPr>
            <w:tcW w:w="7526" w:type="dxa"/>
          </w:tcPr>
          <w:p w14:paraId="72A6F41E" w14:textId="7D793084" w:rsidR="00B82EE8" w:rsidRPr="00920D7D" w:rsidRDefault="00B82EE8" w:rsidP="00B82EE8">
            <w:pPr>
              <w:jc w:val="right"/>
              <w:rPr>
                <w:rFonts w:ascii="Century Gothic" w:eastAsia="Times New Roman" w:hAnsi="Century Gothic" w:cs="Times New Roman"/>
                <w:b/>
                <w:bCs/>
                <w:color w:val="7F7F7F" w:themeColor="text1" w:themeTint="80"/>
                <w:sz w:val="72"/>
                <w:szCs w:val="72"/>
                <w:lang w:val="es-419"/>
              </w:rPr>
            </w:pPr>
            <w:r w:rsidRPr="00920D7D">
              <w:rPr>
                <w:rFonts w:ascii="Century Gothic" w:eastAsia="Times New Roman" w:hAnsi="Century Gothic" w:cs="Times New Roman"/>
                <w:b/>
                <w:bCs/>
                <w:color w:val="7F7F7F" w:themeColor="text1" w:themeTint="80"/>
                <w:sz w:val="72"/>
                <w:szCs w:val="72"/>
                <w:lang w:val="es-419"/>
              </w:rPr>
              <w:t>aviso público</w:t>
            </w:r>
          </w:p>
          <w:p w14:paraId="596908C2" w14:textId="77777777" w:rsidR="00B82EE8" w:rsidRPr="00941893" w:rsidRDefault="00B82EE8" w:rsidP="000973D0">
            <w:pPr>
              <w:jc w:val="center"/>
              <w:rPr>
                <w:rFonts w:ascii="Century Gothic" w:eastAsia="Times New Roman" w:hAnsi="Century Gothic" w:cs="Times New Roman"/>
                <w:b/>
                <w:bCs/>
                <w:sz w:val="18"/>
                <w:szCs w:val="18"/>
                <w:lang w:val="es-PR"/>
              </w:rPr>
            </w:pPr>
          </w:p>
          <w:p w14:paraId="724F7183" w14:textId="77777777" w:rsidR="002D63C7" w:rsidRPr="00941893" w:rsidRDefault="002D63C7" w:rsidP="002D63C7">
            <w:pPr>
              <w:jc w:val="center"/>
              <w:rPr>
                <w:rFonts w:ascii="Century Gothic" w:hAnsi="Century Gothic"/>
                <w:b/>
                <w:bCs/>
                <w:sz w:val="18"/>
                <w:szCs w:val="18"/>
                <w:lang w:val="es-PR"/>
              </w:rPr>
            </w:pPr>
          </w:p>
          <w:p w14:paraId="42005C2B" w14:textId="7C3AAEC3" w:rsidR="000C3C02" w:rsidRPr="00941893" w:rsidRDefault="000C3C02" w:rsidP="002D63C7">
            <w:pPr>
              <w:jc w:val="center"/>
              <w:rPr>
                <w:rFonts w:ascii="Century Gothic" w:hAnsi="Century Gothic"/>
                <w:b/>
                <w:bCs/>
                <w:sz w:val="18"/>
                <w:szCs w:val="18"/>
                <w:lang w:val="es-PR"/>
              </w:rPr>
            </w:pPr>
            <w:r w:rsidRPr="00941893">
              <w:rPr>
                <w:rFonts w:ascii="Century Gothic" w:hAnsi="Century Gothic"/>
                <w:b/>
                <w:bCs/>
                <w:sz w:val="18"/>
                <w:szCs w:val="18"/>
                <w:lang w:val="es-PR"/>
              </w:rPr>
              <w:t>DEPARTAMENTO DE LA VIVIENDA DE PUERTO RICO</w:t>
            </w:r>
          </w:p>
          <w:p w14:paraId="09FDE9F4" w14:textId="77777777" w:rsidR="000C3C02" w:rsidRPr="00941893" w:rsidRDefault="000C3C02" w:rsidP="002D63C7">
            <w:pPr>
              <w:jc w:val="center"/>
              <w:rPr>
                <w:rFonts w:ascii="Century Gothic" w:hAnsi="Century Gothic"/>
                <w:b/>
                <w:bCs/>
                <w:sz w:val="18"/>
                <w:szCs w:val="18"/>
                <w:lang w:val="es-PR"/>
              </w:rPr>
            </w:pPr>
            <w:r w:rsidRPr="00941893">
              <w:rPr>
                <w:rFonts w:ascii="Century Gothic" w:hAnsi="Century Gothic"/>
                <w:b/>
                <w:bCs/>
                <w:sz w:val="18"/>
                <w:szCs w:val="18"/>
                <w:lang w:val="es-PR"/>
              </w:rPr>
              <w:t>AVISO DE INTENCIÓN DE ADOPTAR UNA DECLARACIÓN DE IMPACTO AMBIENTAL FINAL</w:t>
            </w:r>
          </w:p>
          <w:p w14:paraId="6D04F7A6" w14:textId="77777777" w:rsidR="000C3C02" w:rsidRPr="00941893" w:rsidRDefault="000C3C02" w:rsidP="000C3C02">
            <w:pPr>
              <w:jc w:val="center"/>
              <w:rPr>
                <w:rFonts w:ascii="Century Gothic" w:hAnsi="Century Gothic"/>
                <w:sz w:val="18"/>
                <w:szCs w:val="18"/>
                <w:lang w:val="es-PR"/>
              </w:rPr>
            </w:pPr>
          </w:p>
          <w:p w14:paraId="1A3AB9B2" w14:textId="77777777" w:rsidR="000C3C02" w:rsidRPr="00941893" w:rsidRDefault="000C3C02" w:rsidP="000C3C02">
            <w:pPr>
              <w:jc w:val="center"/>
              <w:rPr>
                <w:rFonts w:ascii="Century Gothic" w:hAnsi="Century Gothic"/>
                <w:sz w:val="18"/>
                <w:szCs w:val="18"/>
                <w:lang w:val="es-PR"/>
              </w:rPr>
            </w:pPr>
            <w:r w:rsidRPr="00941893">
              <w:rPr>
                <w:rFonts w:ascii="Century Gothic" w:hAnsi="Century Gothic"/>
                <w:sz w:val="18"/>
                <w:szCs w:val="18"/>
                <w:lang w:val="es-PR"/>
              </w:rPr>
              <w:t xml:space="preserve">PROYECTO CARRETERA PR-10 </w:t>
            </w:r>
          </w:p>
          <w:p w14:paraId="729D9C7A" w14:textId="790F872E" w:rsidR="000C3C02" w:rsidRPr="00941893" w:rsidRDefault="000C3C02" w:rsidP="000C3C02">
            <w:pPr>
              <w:jc w:val="center"/>
              <w:rPr>
                <w:rFonts w:ascii="Century Gothic" w:hAnsi="Century Gothic"/>
                <w:sz w:val="18"/>
                <w:szCs w:val="18"/>
                <w:lang w:val="es-PR"/>
              </w:rPr>
            </w:pPr>
            <w:r w:rsidRPr="00941893">
              <w:rPr>
                <w:rFonts w:ascii="Century Gothic" w:hAnsi="Century Gothic"/>
                <w:sz w:val="18"/>
                <w:szCs w:val="18"/>
                <w:lang w:val="es-PR"/>
              </w:rPr>
              <w:t>PARA FINALIZAR LOS SEGMENTO</w:t>
            </w:r>
            <w:r w:rsidR="003B6117" w:rsidRPr="00941893">
              <w:rPr>
                <w:rFonts w:ascii="Century Gothic" w:hAnsi="Century Gothic"/>
                <w:sz w:val="18"/>
                <w:szCs w:val="18"/>
                <w:lang w:val="es-PR"/>
              </w:rPr>
              <w:t>S</w:t>
            </w:r>
            <w:r w:rsidRPr="00941893">
              <w:rPr>
                <w:rFonts w:ascii="Century Gothic" w:hAnsi="Century Gothic"/>
                <w:sz w:val="18"/>
                <w:szCs w:val="18"/>
                <w:lang w:val="es-PR"/>
              </w:rPr>
              <w:t xml:space="preserve"> ENTRE UTUADO Y ADJUNTAS, PUERTO RICO </w:t>
            </w:r>
          </w:p>
          <w:p w14:paraId="58F40099" w14:textId="77777777" w:rsidR="000C3C02" w:rsidRPr="00941893" w:rsidRDefault="000C3C02" w:rsidP="000C3C02">
            <w:pPr>
              <w:jc w:val="center"/>
              <w:rPr>
                <w:rFonts w:ascii="Century Gothic" w:hAnsi="Century Gothic"/>
                <w:sz w:val="18"/>
                <w:szCs w:val="18"/>
                <w:lang w:val="es-PR"/>
              </w:rPr>
            </w:pPr>
            <w:r w:rsidRPr="00941893">
              <w:rPr>
                <w:rFonts w:ascii="Century Gothic" w:hAnsi="Century Gothic"/>
                <w:sz w:val="18"/>
                <w:szCs w:val="18"/>
                <w:lang w:val="es-PR"/>
              </w:rPr>
              <w:t>AC-100069, AC-1010071, AC-100055 y AC-100076</w:t>
            </w:r>
          </w:p>
          <w:p w14:paraId="23C7C7A6" w14:textId="77777777" w:rsidR="000C3C02" w:rsidRPr="00941893" w:rsidRDefault="000C3C02" w:rsidP="000C3C02">
            <w:pPr>
              <w:jc w:val="both"/>
              <w:rPr>
                <w:rFonts w:ascii="Century Gothic" w:hAnsi="Century Gothic"/>
                <w:sz w:val="18"/>
                <w:szCs w:val="18"/>
                <w:lang w:val="es-PR"/>
              </w:rPr>
            </w:pPr>
          </w:p>
          <w:p w14:paraId="1C521A58" w14:textId="77777777" w:rsidR="000C3C02" w:rsidRPr="00941893" w:rsidRDefault="000C3C02" w:rsidP="000C3C02">
            <w:pPr>
              <w:jc w:val="both"/>
              <w:rPr>
                <w:rFonts w:ascii="Century Gothic" w:hAnsi="Century Gothic"/>
                <w:sz w:val="18"/>
                <w:szCs w:val="18"/>
                <w:lang w:val="es-PR"/>
              </w:rPr>
            </w:pPr>
            <w:r w:rsidRPr="00941893">
              <w:rPr>
                <w:rFonts w:ascii="Century Gothic" w:hAnsi="Century Gothic"/>
                <w:sz w:val="18"/>
                <w:szCs w:val="18"/>
                <w:lang w:val="es-PR"/>
              </w:rPr>
              <w:t>A: Todas las partes, grupos e individuos interesados.</w:t>
            </w:r>
          </w:p>
          <w:p w14:paraId="14C97152" w14:textId="77777777" w:rsidR="000C3C02" w:rsidRPr="00941893" w:rsidRDefault="000C3C02" w:rsidP="000C3C02">
            <w:pPr>
              <w:jc w:val="both"/>
              <w:rPr>
                <w:rFonts w:ascii="Century Gothic" w:hAnsi="Century Gothic"/>
                <w:sz w:val="18"/>
                <w:szCs w:val="18"/>
                <w:lang w:val="es-PR"/>
              </w:rPr>
            </w:pPr>
          </w:p>
          <w:p w14:paraId="0F0D17FB" w14:textId="0D5A5B53" w:rsidR="000C3C02" w:rsidRPr="00941893" w:rsidRDefault="000C3C02" w:rsidP="000C3C02">
            <w:pPr>
              <w:jc w:val="both"/>
              <w:rPr>
                <w:rFonts w:ascii="Century Gothic" w:hAnsi="Century Gothic"/>
                <w:sz w:val="18"/>
                <w:szCs w:val="18"/>
                <w:lang w:val="es-PR"/>
              </w:rPr>
            </w:pPr>
            <w:r w:rsidRPr="00941893">
              <w:rPr>
                <w:rFonts w:ascii="Century Gothic" w:hAnsi="Century Gothic"/>
                <w:sz w:val="18"/>
                <w:szCs w:val="18"/>
                <w:lang w:val="es-PR"/>
              </w:rPr>
              <w:t>El proyecto en referencia ha sido seleccionado por el Departamento de la Vivienda de Puerto Rico (</w:t>
            </w:r>
            <w:r w:rsidRPr="00941893">
              <w:rPr>
                <w:rFonts w:ascii="Century Gothic" w:hAnsi="Century Gothic"/>
                <w:b/>
                <w:bCs/>
                <w:sz w:val="18"/>
                <w:szCs w:val="18"/>
                <w:lang w:val="es-PR"/>
              </w:rPr>
              <w:t>VIVIENDA</w:t>
            </w:r>
            <w:r w:rsidRPr="00941893">
              <w:rPr>
                <w:rFonts w:ascii="Century Gothic" w:hAnsi="Century Gothic"/>
                <w:sz w:val="18"/>
                <w:szCs w:val="18"/>
                <w:lang w:val="es-PR"/>
              </w:rPr>
              <w:t xml:space="preserve">) como uno estratégico bajo la Subvención en Bloque para el Desarrollo Comunitario para la Mitigación </w:t>
            </w:r>
            <w:r w:rsidR="00E93139" w:rsidRPr="00941893">
              <w:rPr>
                <w:rFonts w:ascii="Century Gothic" w:hAnsi="Century Gothic"/>
                <w:sz w:val="18"/>
                <w:szCs w:val="18"/>
                <w:lang w:val="es-PR"/>
              </w:rPr>
              <w:t>(</w:t>
            </w:r>
            <w:r w:rsidRPr="00941893">
              <w:rPr>
                <w:rFonts w:ascii="Century Gothic" w:hAnsi="Century Gothic"/>
                <w:sz w:val="18"/>
                <w:szCs w:val="18"/>
                <w:lang w:val="es-PR"/>
              </w:rPr>
              <w:t>(CDBG-MIT, en inglés) subsidio número B-18-DP-72-0002), dentro del Programa de Mitigación de la Infraestructura.  Una Declaración de Impacto Ambiental (DIA) fue originalmente preparada para este proyecto en 1979 por la Autoridad de Carreteras y Transportación de Puerto Rico (</w:t>
            </w:r>
            <w:r w:rsidRPr="00941893">
              <w:rPr>
                <w:rFonts w:ascii="Century Gothic" w:hAnsi="Century Gothic"/>
                <w:b/>
                <w:bCs/>
                <w:sz w:val="18"/>
                <w:szCs w:val="18"/>
                <w:lang w:val="es-PR"/>
              </w:rPr>
              <w:t>ACT</w:t>
            </w:r>
            <w:r w:rsidRPr="00941893">
              <w:rPr>
                <w:rFonts w:ascii="Century Gothic" w:hAnsi="Century Gothic"/>
                <w:sz w:val="18"/>
                <w:szCs w:val="18"/>
                <w:lang w:val="es-PR"/>
              </w:rPr>
              <w:t>) y publicada por la Administración Federal de Carreteras (</w:t>
            </w:r>
            <w:r w:rsidRPr="00941893">
              <w:rPr>
                <w:rFonts w:ascii="Century Gothic" w:hAnsi="Century Gothic"/>
                <w:b/>
                <w:bCs/>
                <w:sz w:val="18"/>
                <w:szCs w:val="18"/>
                <w:lang w:val="es-PR"/>
              </w:rPr>
              <w:t>FHWA</w:t>
            </w:r>
            <w:r w:rsidRPr="00941893">
              <w:rPr>
                <w:rFonts w:ascii="Century Gothic" w:hAnsi="Century Gothic"/>
                <w:sz w:val="18"/>
                <w:szCs w:val="18"/>
                <w:lang w:val="es-PR"/>
              </w:rPr>
              <w:t>, en inglés) como agencia líder del proyecto. Además, la DIA ha sido reevaluada por la ACT y enviada a la FHWA con la intención de mantener el documento actualizado con las condiciones y reglamentaciones ambientales vigentes. Según la Ley Nacional de Política Ambiental</w:t>
            </w:r>
            <w:r w:rsidR="002D63C7" w:rsidRPr="00941893">
              <w:rPr>
                <w:rFonts w:ascii="Century Gothic" w:hAnsi="Century Gothic"/>
                <w:sz w:val="18"/>
                <w:szCs w:val="18"/>
                <w:lang w:val="es-PR"/>
              </w:rPr>
              <w:t xml:space="preserve"> </w:t>
            </w:r>
            <w:r w:rsidRPr="00941893">
              <w:rPr>
                <w:rFonts w:ascii="Century Gothic" w:hAnsi="Century Gothic"/>
                <w:sz w:val="18"/>
                <w:szCs w:val="18"/>
                <w:lang w:val="es-PR"/>
              </w:rPr>
              <w:t>(</w:t>
            </w:r>
            <w:proofErr w:type="spellStart"/>
            <w:r w:rsidRPr="00920D7D">
              <w:rPr>
                <w:rFonts w:ascii="Century Gothic" w:hAnsi="Century Gothic"/>
                <w:i/>
                <w:sz w:val="18"/>
                <w:szCs w:val="18"/>
                <w:lang w:val="es-PR"/>
              </w:rPr>
              <w:t>National</w:t>
            </w:r>
            <w:proofErr w:type="spellEnd"/>
            <w:r w:rsidRPr="00920D7D">
              <w:rPr>
                <w:rFonts w:ascii="Century Gothic" w:hAnsi="Century Gothic"/>
                <w:i/>
                <w:sz w:val="18"/>
                <w:szCs w:val="18"/>
                <w:lang w:val="es-PR"/>
              </w:rPr>
              <w:t xml:space="preserve"> </w:t>
            </w:r>
            <w:proofErr w:type="spellStart"/>
            <w:r w:rsidRPr="00920D7D">
              <w:rPr>
                <w:rFonts w:ascii="Century Gothic" w:hAnsi="Century Gothic"/>
                <w:i/>
                <w:sz w:val="18"/>
                <w:szCs w:val="18"/>
                <w:lang w:val="es-PR"/>
              </w:rPr>
              <w:t>Environmental</w:t>
            </w:r>
            <w:proofErr w:type="spellEnd"/>
            <w:r w:rsidRPr="00920D7D">
              <w:rPr>
                <w:rFonts w:ascii="Century Gothic" w:hAnsi="Century Gothic"/>
                <w:i/>
                <w:sz w:val="18"/>
                <w:szCs w:val="18"/>
                <w:lang w:val="es-PR"/>
              </w:rPr>
              <w:t xml:space="preserve"> </w:t>
            </w:r>
            <w:proofErr w:type="spellStart"/>
            <w:r w:rsidRPr="00920D7D">
              <w:rPr>
                <w:rFonts w:ascii="Century Gothic" w:hAnsi="Century Gothic"/>
                <w:i/>
                <w:sz w:val="18"/>
                <w:szCs w:val="18"/>
                <w:lang w:val="es-PR"/>
              </w:rPr>
              <w:t>Policy</w:t>
            </w:r>
            <w:proofErr w:type="spellEnd"/>
            <w:r w:rsidRPr="00920D7D">
              <w:rPr>
                <w:rFonts w:ascii="Century Gothic" w:hAnsi="Century Gothic"/>
                <w:i/>
                <w:sz w:val="18"/>
                <w:szCs w:val="18"/>
                <w:lang w:val="es-PR"/>
              </w:rPr>
              <w:t xml:space="preserve"> </w:t>
            </w:r>
            <w:proofErr w:type="spellStart"/>
            <w:r w:rsidRPr="00920D7D">
              <w:rPr>
                <w:rFonts w:ascii="Century Gothic" w:hAnsi="Century Gothic"/>
                <w:i/>
                <w:sz w:val="18"/>
                <w:szCs w:val="18"/>
                <w:lang w:val="es-PR"/>
              </w:rPr>
              <w:t>Act</w:t>
            </w:r>
            <w:proofErr w:type="spellEnd"/>
            <w:r w:rsidRPr="00941893">
              <w:rPr>
                <w:rFonts w:ascii="Century Gothic" w:hAnsi="Century Gothic"/>
                <w:sz w:val="18"/>
                <w:szCs w:val="18"/>
                <w:lang w:val="es-PR"/>
              </w:rPr>
              <w:t>), la DIA Final (</w:t>
            </w:r>
            <w:r w:rsidRPr="00941893">
              <w:rPr>
                <w:rFonts w:ascii="Century Gothic" w:hAnsi="Century Gothic"/>
                <w:b/>
                <w:bCs/>
                <w:sz w:val="18"/>
                <w:szCs w:val="18"/>
                <w:lang w:val="es-PR"/>
              </w:rPr>
              <w:t>DIA-F</w:t>
            </w:r>
            <w:r w:rsidRPr="00941893">
              <w:rPr>
                <w:rFonts w:ascii="Century Gothic" w:hAnsi="Century Gothic"/>
                <w:sz w:val="18"/>
                <w:szCs w:val="18"/>
                <w:lang w:val="es-PR"/>
              </w:rPr>
              <w:t xml:space="preserve">) identifica y evalúa los impactos ambientales del Proyecto de Carretera PR-10. VIVIENDA tiene la intención de adoptar la DIA-F y otorgar fondos para la finalización del proyecto de acuerdo con la fuente de subvención CDBG-MIT antes citada. </w:t>
            </w:r>
          </w:p>
          <w:p w14:paraId="045DACB6" w14:textId="77777777" w:rsidR="000C3C02" w:rsidRPr="00941893" w:rsidRDefault="000C3C02" w:rsidP="000C3C02">
            <w:pPr>
              <w:jc w:val="both"/>
              <w:rPr>
                <w:rFonts w:ascii="Century Gothic" w:hAnsi="Century Gothic"/>
                <w:sz w:val="18"/>
                <w:szCs w:val="18"/>
                <w:lang w:val="es-PR"/>
              </w:rPr>
            </w:pPr>
          </w:p>
          <w:p w14:paraId="18B78242" w14:textId="78554352" w:rsidR="000C3C02" w:rsidRPr="00941893" w:rsidRDefault="000C3C02" w:rsidP="000C3C02">
            <w:pPr>
              <w:jc w:val="both"/>
              <w:rPr>
                <w:rFonts w:ascii="Century Gothic" w:hAnsi="Century Gothic"/>
                <w:sz w:val="18"/>
                <w:szCs w:val="18"/>
                <w:lang w:val="es-PR"/>
              </w:rPr>
            </w:pPr>
            <w:r w:rsidRPr="00941893">
              <w:rPr>
                <w:rFonts w:ascii="Century Gothic" w:hAnsi="Century Gothic"/>
                <w:b/>
                <w:bCs/>
                <w:sz w:val="18"/>
                <w:szCs w:val="18"/>
                <w:lang w:val="es-PR"/>
              </w:rPr>
              <w:t>Localización del proyecto:</w:t>
            </w:r>
            <w:r w:rsidR="002D63C7" w:rsidRPr="00941893">
              <w:rPr>
                <w:rFonts w:ascii="Century Gothic" w:hAnsi="Century Gothic"/>
                <w:b/>
                <w:bCs/>
                <w:sz w:val="18"/>
                <w:szCs w:val="18"/>
                <w:lang w:val="es-PR"/>
              </w:rPr>
              <w:t xml:space="preserve"> </w:t>
            </w:r>
            <w:r w:rsidRPr="00941893">
              <w:rPr>
                <w:rFonts w:ascii="Century Gothic" w:hAnsi="Century Gothic"/>
                <w:sz w:val="18"/>
                <w:szCs w:val="18"/>
                <w:lang w:val="es-PR"/>
              </w:rPr>
              <w:t>La PR-10 se construyó por etapas y le falta un tramo de aproximadamente 7.6 kilómetros entre Utuado y Adjuntas. Una vez completado el proyecto de construcción, la PR-10 estará conectada desde la porción norte que nace en el cruce de la PR-2 en Arecibo con la porción sur en el cruce con la PR-5506 en Ponce. Los segmentos que se proponen construir comprenden un tramo que comienza en una intersección de la PR-123 con la PR-10 al sur de Utuado (aprox.  18.236923° N</w:t>
            </w:r>
            <w:r w:rsidR="002D63C7" w:rsidRPr="00941893">
              <w:rPr>
                <w:rFonts w:ascii="Century Gothic" w:hAnsi="Century Gothic"/>
                <w:sz w:val="18"/>
                <w:szCs w:val="18"/>
                <w:lang w:val="es-PR"/>
              </w:rPr>
              <w:t>,</w:t>
            </w:r>
            <w:r w:rsidRPr="00941893">
              <w:rPr>
                <w:rFonts w:ascii="Century Gothic" w:hAnsi="Century Gothic"/>
                <w:sz w:val="18"/>
                <w:szCs w:val="18"/>
                <w:lang w:val="es-PR"/>
              </w:rPr>
              <w:t xml:space="preserve"> 66.719937° O) hasta la porción donde ambas carreteras conectan nuevamente en el centro de Adjuntas (aprox. 18.181077° N</w:t>
            </w:r>
            <w:r w:rsidR="002D63C7" w:rsidRPr="00941893">
              <w:rPr>
                <w:rFonts w:ascii="Century Gothic" w:hAnsi="Century Gothic"/>
                <w:sz w:val="18"/>
                <w:szCs w:val="18"/>
                <w:lang w:val="es-PR"/>
              </w:rPr>
              <w:t>,</w:t>
            </w:r>
            <w:r w:rsidRPr="00941893">
              <w:rPr>
                <w:rFonts w:ascii="Century Gothic" w:hAnsi="Century Gothic"/>
                <w:sz w:val="18"/>
                <w:szCs w:val="18"/>
                <w:lang w:val="es-PR"/>
              </w:rPr>
              <w:t xml:space="preserve"> 66.736949° O).</w:t>
            </w:r>
          </w:p>
          <w:p w14:paraId="547AAA00" w14:textId="77777777" w:rsidR="002D63C7" w:rsidRPr="00941893" w:rsidRDefault="002D63C7" w:rsidP="000C3C02">
            <w:pPr>
              <w:jc w:val="both"/>
              <w:rPr>
                <w:rFonts w:ascii="Century Gothic" w:hAnsi="Century Gothic"/>
                <w:sz w:val="18"/>
                <w:szCs w:val="18"/>
                <w:lang w:val="es-PR"/>
              </w:rPr>
            </w:pPr>
          </w:p>
          <w:p w14:paraId="04ABB1A1" w14:textId="77777777" w:rsidR="002D63C7" w:rsidRPr="00941893" w:rsidRDefault="002D63C7" w:rsidP="002D63C7">
            <w:pPr>
              <w:jc w:val="both"/>
              <w:rPr>
                <w:rFonts w:ascii="Century Gothic" w:hAnsi="Century Gothic"/>
                <w:sz w:val="18"/>
                <w:szCs w:val="18"/>
                <w:lang w:val="es-PR"/>
              </w:rPr>
            </w:pPr>
            <w:r w:rsidRPr="00941893">
              <w:rPr>
                <w:rFonts w:ascii="Century Gothic" w:hAnsi="Century Gothic"/>
                <w:b/>
                <w:bCs/>
                <w:sz w:val="18"/>
                <w:szCs w:val="18"/>
                <w:lang w:val="es-PR"/>
              </w:rPr>
              <w:t>Descripción del Proyecto Propuesto:</w:t>
            </w:r>
            <w:r w:rsidRPr="00941893">
              <w:rPr>
                <w:rFonts w:ascii="Century Gothic" w:hAnsi="Century Gothic"/>
                <w:sz w:val="18"/>
                <w:szCs w:val="18"/>
                <w:lang w:val="es-PR"/>
              </w:rPr>
              <w:t xml:space="preserve"> El proyecto vial, en general, se ha construido por fases. A la fecha solo quedan por construir cuatro (4) tramos que suman un total aproximado de 7.6 kilómetros:</w:t>
            </w:r>
          </w:p>
          <w:p w14:paraId="49CA1CF5" w14:textId="77777777" w:rsidR="002D63C7" w:rsidRPr="00941893" w:rsidRDefault="002D63C7" w:rsidP="002D63C7">
            <w:pPr>
              <w:jc w:val="both"/>
              <w:rPr>
                <w:rFonts w:ascii="Century Gothic" w:hAnsi="Century Gothic"/>
                <w:sz w:val="18"/>
                <w:szCs w:val="18"/>
                <w:lang w:val="es-PR"/>
              </w:rPr>
            </w:pPr>
          </w:p>
          <w:p w14:paraId="69C5AC52" w14:textId="0F8B4935" w:rsidR="002D63C7" w:rsidRPr="00941893" w:rsidRDefault="002D63C7" w:rsidP="002D63C7">
            <w:pPr>
              <w:jc w:val="both"/>
              <w:rPr>
                <w:rFonts w:ascii="Century Gothic" w:hAnsi="Century Gothic"/>
                <w:sz w:val="18"/>
                <w:szCs w:val="18"/>
                <w:lang w:val="es-PR"/>
              </w:rPr>
            </w:pPr>
            <w:r w:rsidRPr="00941893">
              <w:rPr>
                <w:rFonts w:ascii="Century Gothic" w:hAnsi="Century Gothic"/>
                <w:sz w:val="18"/>
                <w:szCs w:val="18"/>
                <w:lang w:val="es-PR"/>
              </w:rPr>
              <w:t xml:space="preserve">1. Tramo II (AC-100069) - Este tramo de la carretera consiste en la construcción de la PR-10 entre las estaciones civiles 39+78.73 y 55+50.36 con una longitud total de 1.57 kilómetros. Corre hacia el sureste junto al Río Grande de Arecibo en el barrio Guaonico del municipio de Utuado. El tramo típico consiste en una carretera única </w:t>
            </w:r>
            <w:r w:rsidRPr="00941893">
              <w:rPr>
                <w:rFonts w:ascii="Century Gothic" w:hAnsi="Century Gothic"/>
                <w:sz w:val="18"/>
                <w:szCs w:val="18"/>
                <w:lang w:val="es-PR"/>
              </w:rPr>
              <w:lastRenderedPageBreak/>
              <w:t>con un (1) carril de circulación de 3.65 metros en cada sentido, con un carril de subida adicional en sentido sur hacia Adjuntas. Se proporciona un margen exterior de 3.0 metros en el carril hacia el norte, mientras que se proporciona un margen de 1.80 metros en el carril hacia el sur.</w:t>
            </w:r>
          </w:p>
          <w:p w14:paraId="5F70A8B1" w14:textId="77777777" w:rsidR="002D63C7" w:rsidRPr="00941893" w:rsidRDefault="002D63C7" w:rsidP="002D63C7">
            <w:pPr>
              <w:jc w:val="both"/>
              <w:rPr>
                <w:rFonts w:ascii="Century Gothic" w:hAnsi="Century Gothic"/>
                <w:sz w:val="18"/>
                <w:szCs w:val="18"/>
                <w:lang w:val="es-PR"/>
              </w:rPr>
            </w:pPr>
          </w:p>
          <w:p w14:paraId="00048584" w14:textId="6142F8BD" w:rsidR="002D63C7" w:rsidRPr="00941893" w:rsidRDefault="002D63C7" w:rsidP="002D63C7">
            <w:pPr>
              <w:jc w:val="both"/>
              <w:rPr>
                <w:rFonts w:ascii="Century Gothic" w:hAnsi="Century Gothic"/>
                <w:sz w:val="18"/>
                <w:szCs w:val="18"/>
                <w:lang w:val="es-PR"/>
              </w:rPr>
            </w:pPr>
            <w:r w:rsidRPr="00941893">
              <w:rPr>
                <w:rFonts w:ascii="Century Gothic" w:hAnsi="Century Gothic"/>
                <w:sz w:val="18"/>
                <w:szCs w:val="18"/>
                <w:lang w:val="es-PR"/>
              </w:rPr>
              <w:t xml:space="preserve">2. Tramo III (AC-100071) – Este tramo se une al tramo anterior y corre hacia el sureste junto al Río Grande de Arecibo por 1.84 kilómetros. El tramo típico consiste en una carretera única con un (1) carril de circulación de 3.65 metros de ancho por sentido y un carril de subida adicional en sentido sur (hacia Adjuntas). Se proveerá un margen exterior de 3.0 metros en la sección hacia el norte y un margen de 1.80 metros en el carril hacia el sur. </w:t>
            </w:r>
          </w:p>
          <w:p w14:paraId="4882CC0E" w14:textId="77777777" w:rsidR="002D63C7" w:rsidRPr="00941893" w:rsidRDefault="002D63C7" w:rsidP="002D63C7">
            <w:pPr>
              <w:jc w:val="both"/>
              <w:rPr>
                <w:rFonts w:ascii="Century Gothic" w:hAnsi="Century Gothic"/>
                <w:sz w:val="18"/>
                <w:szCs w:val="18"/>
                <w:lang w:val="es-PR"/>
              </w:rPr>
            </w:pPr>
          </w:p>
          <w:p w14:paraId="5CDB0A48" w14:textId="1C32342D" w:rsidR="002D63C7" w:rsidRPr="00941893" w:rsidRDefault="002D63C7" w:rsidP="002D63C7">
            <w:pPr>
              <w:jc w:val="both"/>
              <w:rPr>
                <w:rFonts w:ascii="Century Gothic" w:hAnsi="Century Gothic"/>
                <w:sz w:val="18"/>
                <w:szCs w:val="18"/>
                <w:lang w:val="es-PR"/>
              </w:rPr>
            </w:pPr>
            <w:r w:rsidRPr="00941893">
              <w:rPr>
                <w:rFonts w:ascii="Century Gothic" w:hAnsi="Century Gothic"/>
                <w:sz w:val="18"/>
                <w:szCs w:val="18"/>
                <w:lang w:val="es-PR"/>
              </w:rPr>
              <w:t>3. Tramo IV (AC-100055) – Este tramo continúa hacia el Barrio Capáez del Municipio de Adjuntas. Recorre aprox.  Unos 2.29 km a lo largo del Río Grande de Arecibo. Al igual que en tramos anteriores, este consiste en una carretera única con un (1) carril de circulación de 3.65 metros por sentido, con un carril de subida adicional en el sentido sur (hacia Adjuntas). Se provee un margen exterior pavimentado de 3.0 m</w:t>
            </w:r>
            <w:r w:rsidR="00504C81" w:rsidRPr="00941893">
              <w:rPr>
                <w:rFonts w:ascii="Century Gothic" w:hAnsi="Century Gothic"/>
                <w:sz w:val="18"/>
                <w:szCs w:val="18"/>
                <w:lang w:val="es-PR"/>
              </w:rPr>
              <w:t>etros</w:t>
            </w:r>
            <w:r w:rsidRPr="00941893">
              <w:rPr>
                <w:rFonts w:ascii="Century Gothic" w:hAnsi="Century Gothic"/>
                <w:sz w:val="18"/>
                <w:szCs w:val="18"/>
                <w:lang w:val="es-PR"/>
              </w:rPr>
              <w:t>. en el carril hacia el norte, y un margen de 1.80 m</w:t>
            </w:r>
            <w:r w:rsidR="00504C81" w:rsidRPr="00941893">
              <w:rPr>
                <w:rFonts w:ascii="Century Gothic" w:hAnsi="Century Gothic"/>
                <w:sz w:val="18"/>
                <w:szCs w:val="18"/>
                <w:lang w:val="es-PR"/>
              </w:rPr>
              <w:t>etros</w:t>
            </w:r>
            <w:r w:rsidRPr="00941893">
              <w:rPr>
                <w:rFonts w:ascii="Century Gothic" w:hAnsi="Century Gothic"/>
                <w:sz w:val="18"/>
                <w:szCs w:val="18"/>
                <w:lang w:val="es-PR"/>
              </w:rPr>
              <w:t>. en el carril hacia el sur.</w:t>
            </w:r>
          </w:p>
          <w:p w14:paraId="5A2641A6" w14:textId="77777777" w:rsidR="002D63C7" w:rsidRPr="00941893" w:rsidRDefault="002D63C7" w:rsidP="002D63C7">
            <w:pPr>
              <w:jc w:val="both"/>
              <w:rPr>
                <w:rFonts w:ascii="Century Gothic" w:hAnsi="Century Gothic"/>
                <w:sz w:val="18"/>
                <w:szCs w:val="18"/>
                <w:lang w:val="es-PR"/>
              </w:rPr>
            </w:pPr>
          </w:p>
          <w:p w14:paraId="08B160D0" w14:textId="7C77D420" w:rsidR="002D63C7" w:rsidRPr="00941893" w:rsidRDefault="002D63C7" w:rsidP="002D63C7">
            <w:pPr>
              <w:jc w:val="both"/>
              <w:rPr>
                <w:rFonts w:ascii="Century Gothic" w:hAnsi="Century Gothic"/>
                <w:sz w:val="18"/>
                <w:szCs w:val="18"/>
                <w:lang w:val="es-PR"/>
              </w:rPr>
            </w:pPr>
            <w:r w:rsidRPr="00941893">
              <w:rPr>
                <w:rFonts w:ascii="Century Gothic" w:hAnsi="Century Gothic"/>
                <w:sz w:val="18"/>
                <w:szCs w:val="18"/>
                <w:lang w:val="es-PR"/>
              </w:rPr>
              <w:t>4. Tramo V (AC-100076) – Este tramo servirá para completar la construcción y hará realidad la conexión terrestre entre las regiones norte y sur de la isla tal como se previó originalmente cuando se</w:t>
            </w:r>
            <w:r w:rsidR="00504C81" w:rsidRPr="00941893">
              <w:rPr>
                <w:rFonts w:ascii="Century Gothic" w:hAnsi="Century Gothic"/>
                <w:sz w:val="18"/>
                <w:szCs w:val="18"/>
                <w:lang w:val="es-PR"/>
              </w:rPr>
              <w:t xml:space="preserve"> aprobó</w:t>
            </w:r>
            <w:r w:rsidRPr="00941893">
              <w:rPr>
                <w:rFonts w:ascii="Century Gothic" w:hAnsi="Century Gothic"/>
                <w:sz w:val="18"/>
                <w:szCs w:val="18"/>
                <w:lang w:val="es-PR"/>
              </w:rPr>
              <w:t xml:space="preserve"> </w:t>
            </w:r>
            <w:r w:rsidR="00504C81" w:rsidRPr="00941893">
              <w:rPr>
                <w:rFonts w:ascii="Century Gothic" w:hAnsi="Century Gothic"/>
                <w:sz w:val="18"/>
                <w:szCs w:val="18"/>
                <w:lang w:val="es-PR"/>
              </w:rPr>
              <w:t>la</w:t>
            </w:r>
            <w:r w:rsidRPr="00941893">
              <w:rPr>
                <w:rFonts w:ascii="Century Gothic" w:hAnsi="Century Gothic"/>
                <w:sz w:val="18"/>
                <w:szCs w:val="18"/>
                <w:lang w:val="es-PR"/>
              </w:rPr>
              <w:t xml:space="preserve"> DIA-F para el proyecto. Tendrá una longitud aproximada de 1.83 kilómetros e interconectará el Tramo IV con la PR-10 ya </w:t>
            </w:r>
            <w:r w:rsidR="00941893" w:rsidRPr="00941893">
              <w:rPr>
                <w:rFonts w:ascii="Century Gothic" w:hAnsi="Century Gothic"/>
                <w:sz w:val="18"/>
                <w:szCs w:val="18"/>
                <w:lang w:val="es-PR"/>
              </w:rPr>
              <w:t>construida</w:t>
            </w:r>
            <w:r w:rsidRPr="00941893">
              <w:rPr>
                <w:rFonts w:ascii="Century Gothic" w:hAnsi="Century Gothic"/>
                <w:sz w:val="18"/>
                <w:szCs w:val="18"/>
                <w:lang w:val="es-PR"/>
              </w:rPr>
              <w:t xml:space="preserve"> en el Barrio Capáez del municipio de Adjuntas.</w:t>
            </w:r>
          </w:p>
          <w:p w14:paraId="17DBC76F" w14:textId="77777777" w:rsidR="002D63C7" w:rsidRPr="00941893" w:rsidRDefault="002D63C7" w:rsidP="002D63C7">
            <w:pPr>
              <w:jc w:val="both"/>
              <w:rPr>
                <w:rFonts w:ascii="Century Gothic" w:hAnsi="Century Gothic"/>
                <w:sz w:val="18"/>
                <w:szCs w:val="18"/>
                <w:lang w:val="es-PR"/>
              </w:rPr>
            </w:pPr>
            <w:r w:rsidRPr="00941893">
              <w:rPr>
                <w:rFonts w:ascii="Century Gothic" w:hAnsi="Century Gothic"/>
                <w:sz w:val="18"/>
                <w:szCs w:val="18"/>
                <w:lang w:val="es-PR"/>
              </w:rPr>
              <w:t xml:space="preserve"> </w:t>
            </w:r>
          </w:p>
          <w:p w14:paraId="657EA5D1" w14:textId="07AD03B8" w:rsidR="002D63C7" w:rsidRPr="00941893" w:rsidRDefault="002D63C7" w:rsidP="002D63C7">
            <w:pPr>
              <w:jc w:val="both"/>
              <w:rPr>
                <w:rFonts w:ascii="Century Gothic" w:hAnsi="Century Gothic"/>
                <w:sz w:val="18"/>
                <w:szCs w:val="18"/>
                <w:lang w:val="es-PR"/>
              </w:rPr>
            </w:pPr>
            <w:r w:rsidRPr="00941893">
              <w:rPr>
                <w:rFonts w:ascii="Century Gothic" w:hAnsi="Century Gothic"/>
                <w:sz w:val="18"/>
                <w:szCs w:val="18"/>
                <w:lang w:val="es-PR"/>
              </w:rPr>
              <w:t xml:space="preserve">VIVIENDA, ACT y FHWA considerarán todos los comentarios </w:t>
            </w:r>
            <w:r w:rsidR="00B70004" w:rsidRPr="00941893">
              <w:rPr>
                <w:rFonts w:ascii="Century Gothic" w:hAnsi="Century Gothic"/>
                <w:sz w:val="18"/>
                <w:szCs w:val="18"/>
                <w:lang w:val="es-PR"/>
              </w:rPr>
              <w:t xml:space="preserve">aplicables </w:t>
            </w:r>
            <w:r w:rsidRPr="00941893">
              <w:rPr>
                <w:rFonts w:ascii="Century Gothic" w:hAnsi="Century Gothic"/>
                <w:sz w:val="18"/>
                <w:szCs w:val="18"/>
                <w:lang w:val="es-PR"/>
              </w:rPr>
              <w:t xml:space="preserve">recibidos en o antes del </w:t>
            </w:r>
            <w:r w:rsidR="00920D7D" w:rsidRPr="00920D7D">
              <w:rPr>
                <w:rFonts w:ascii="Century Gothic" w:hAnsi="Century Gothic"/>
                <w:sz w:val="18"/>
                <w:szCs w:val="18"/>
                <w:lang w:val="es-PR"/>
              </w:rPr>
              <w:t>3 de julio de 2023</w:t>
            </w:r>
            <w:r w:rsidRPr="00941893">
              <w:rPr>
                <w:rFonts w:ascii="Century Gothic" w:hAnsi="Century Gothic"/>
                <w:sz w:val="18"/>
                <w:szCs w:val="18"/>
                <w:lang w:val="es-PR"/>
              </w:rPr>
              <w:t>. Una descripción completa del proyecto está disponible al público para su revisión de 8:00 am a 4:00 pm en la Autoridad de Carreteras y</w:t>
            </w:r>
            <w:r w:rsidR="00343E3C" w:rsidRPr="00941893">
              <w:rPr>
                <w:rFonts w:ascii="Century Gothic" w:hAnsi="Century Gothic"/>
                <w:sz w:val="18"/>
                <w:szCs w:val="18"/>
                <w:lang w:val="es-PR"/>
              </w:rPr>
              <w:t xml:space="preserve"> Transportación</w:t>
            </w:r>
            <w:r w:rsidR="00941893" w:rsidRPr="00941893">
              <w:rPr>
                <w:rFonts w:ascii="Century Gothic" w:hAnsi="Century Gothic"/>
                <w:sz w:val="18"/>
                <w:szCs w:val="18"/>
                <w:lang w:val="es-PR"/>
              </w:rPr>
              <w:t xml:space="preserve"> </w:t>
            </w:r>
            <w:r w:rsidRPr="00941893">
              <w:rPr>
                <w:rFonts w:ascii="Century Gothic" w:hAnsi="Century Gothic"/>
                <w:sz w:val="18"/>
                <w:szCs w:val="18"/>
                <w:lang w:val="es-PR"/>
              </w:rPr>
              <w:t>de Puerto Rico, Oficina de Estudios Ambientales</w:t>
            </w:r>
            <w:r w:rsidR="00343E3C" w:rsidRPr="00941893">
              <w:rPr>
                <w:rFonts w:ascii="Century Gothic" w:hAnsi="Century Gothic"/>
                <w:sz w:val="18"/>
                <w:szCs w:val="18"/>
                <w:lang w:val="es-PR"/>
              </w:rPr>
              <w:t>,</w:t>
            </w:r>
            <w:r w:rsidRPr="00941893">
              <w:rPr>
                <w:rFonts w:ascii="Century Gothic" w:hAnsi="Century Gothic"/>
                <w:sz w:val="18"/>
                <w:szCs w:val="18"/>
                <w:lang w:val="es-PR"/>
              </w:rPr>
              <w:t xml:space="preserve"> </w:t>
            </w:r>
            <w:r w:rsidR="00343E3C" w:rsidRPr="00941893">
              <w:rPr>
                <w:rFonts w:ascii="Century Gothic" w:hAnsi="Century Gothic"/>
                <w:sz w:val="18"/>
                <w:szCs w:val="18"/>
                <w:lang w:val="es-PR"/>
              </w:rPr>
              <w:t xml:space="preserve">ubicada </w:t>
            </w:r>
            <w:r w:rsidRPr="00941893">
              <w:rPr>
                <w:rFonts w:ascii="Century Gothic" w:hAnsi="Century Gothic"/>
                <w:sz w:val="18"/>
                <w:szCs w:val="18"/>
                <w:lang w:val="es-PR"/>
              </w:rPr>
              <w:t>en el Piso 15 de la Torre Sur en el Centro de Gobierno Sánchez Vilella (Minillas) en la Ave. Jos</w:t>
            </w:r>
            <w:r w:rsidR="00343E3C" w:rsidRPr="00941893">
              <w:rPr>
                <w:rFonts w:ascii="Century Gothic" w:hAnsi="Century Gothic"/>
                <w:sz w:val="18"/>
                <w:szCs w:val="18"/>
                <w:lang w:val="es-PR"/>
              </w:rPr>
              <w:t>é</w:t>
            </w:r>
            <w:r w:rsidRPr="00941893">
              <w:rPr>
                <w:rFonts w:ascii="Century Gothic" w:hAnsi="Century Gothic"/>
                <w:sz w:val="18"/>
                <w:szCs w:val="18"/>
                <w:lang w:val="es-PR"/>
              </w:rPr>
              <w:t xml:space="preserve"> De Diego, San Juan, con número (787) 721-8787 y en el sitio web de VIVIENDA en </w:t>
            </w:r>
            <w:hyperlink r:id="rId8" w:history="1">
              <w:r w:rsidR="00BE17D7" w:rsidRPr="00941893">
                <w:rPr>
                  <w:rStyle w:val="Hyperlink"/>
                  <w:rFonts w:ascii="Century Gothic" w:hAnsi="Century Gothic"/>
                  <w:sz w:val="18"/>
                  <w:szCs w:val="18"/>
                  <w:lang w:val="es-PR"/>
                </w:rPr>
                <w:t>https://cdbg-dr.p</w:t>
              </w:r>
              <w:r w:rsidR="00BE17D7" w:rsidRPr="00941893">
                <w:rPr>
                  <w:rStyle w:val="Hyperlink"/>
                  <w:rFonts w:ascii="Century Gothic" w:hAnsi="Century Gothic"/>
                  <w:sz w:val="18"/>
                  <w:szCs w:val="18"/>
                  <w:lang w:val="es-PR"/>
                </w:rPr>
                <w:t>r</w:t>
              </w:r>
              <w:r w:rsidR="00BE17D7" w:rsidRPr="00941893">
                <w:rPr>
                  <w:rStyle w:val="Hyperlink"/>
                  <w:rFonts w:ascii="Century Gothic" w:hAnsi="Century Gothic"/>
                  <w:sz w:val="18"/>
                  <w:szCs w:val="18"/>
                  <w:lang w:val="es-PR"/>
                </w:rPr>
                <w:t>.gov/recursos/revision-ambiental/</w:t>
              </w:r>
            </w:hyperlink>
            <w:r w:rsidR="00BE17D7" w:rsidRPr="00941893">
              <w:rPr>
                <w:rFonts w:ascii="Century Gothic" w:hAnsi="Century Gothic"/>
                <w:sz w:val="18"/>
                <w:szCs w:val="18"/>
                <w:lang w:val="es-PR"/>
              </w:rPr>
              <w:t xml:space="preserve">. </w:t>
            </w:r>
            <w:r w:rsidRPr="00941893">
              <w:rPr>
                <w:rFonts w:ascii="Century Gothic" w:hAnsi="Century Gothic"/>
                <w:sz w:val="18"/>
                <w:szCs w:val="18"/>
                <w:lang w:val="es-PR"/>
              </w:rPr>
              <w:t xml:space="preserve">Los comentarios escritos pueden enviarse a la siguiente dirección: </w:t>
            </w:r>
            <w:r w:rsidR="00343E3C" w:rsidRPr="00941893">
              <w:rPr>
                <w:rFonts w:ascii="Century Gothic" w:hAnsi="Century Gothic"/>
                <w:sz w:val="18"/>
                <w:szCs w:val="18"/>
                <w:lang w:val="es-PR"/>
              </w:rPr>
              <w:t>Departamento de la Vivienda de Puerto Rico, Edificio Juan C. Cordero, 606 Avenida Barbosa, Río Piedras, San Juan PR 00918-8461.</w:t>
            </w:r>
            <w:r w:rsidRPr="00941893">
              <w:rPr>
                <w:rFonts w:ascii="Century Gothic" w:hAnsi="Century Gothic"/>
                <w:sz w:val="18"/>
                <w:szCs w:val="18"/>
                <w:lang w:val="es-PR"/>
              </w:rPr>
              <w:t>, Atención: Juan C. P</w:t>
            </w:r>
            <w:r w:rsidR="00343E3C" w:rsidRPr="00941893">
              <w:rPr>
                <w:rFonts w:ascii="Century Gothic" w:hAnsi="Century Gothic"/>
                <w:sz w:val="18"/>
                <w:szCs w:val="18"/>
                <w:lang w:val="es-PR"/>
              </w:rPr>
              <w:t>é</w:t>
            </w:r>
            <w:r w:rsidRPr="00941893">
              <w:rPr>
                <w:rFonts w:ascii="Century Gothic" w:hAnsi="Century Gothic"/>
                <w:sz w:val="18"/>
                <w:szCs w:val="18"/>
                <w:lang w:val="es-PR"/>
              </w:rPr>
              <w:t xml:space="preserve">rez, Director de Recuperación de Desastres. De manera alterna, comentarios también pueden enviarse a Vivienda por correo electrónico a </w:t>
            </w:r>
            <w:hyperlink r:id="rId9" w:history="1">
              <w:r w:rsidR="00343E3C" w:rsidRPr="00941893">
                <w:rPr>
                  <w:rStyle w:val="Hyperlink"/>
                  <w:rFonts w:ascii="Century Gothic" w:hAnsi="Century Gothic"/>
                  <w:sz w:val="18"/>
                  <w:szCs w:val="18"/>
                  <w:lang w:val="es-PR"/>
                </w:rPr>
                <w:t>environmentcdbg@vivienda.pr.gov</w:t>
              </w:r>
            </w:hyperlink>
            <w:r w:rsidR="00343E3C" w:rsidRPr="00941893">
              <w:rPr>
                <w:rFonts w:ascii="Century Gothic" w:hAnsi="Century Gothic"/>
                <w:sz w:val="18"/>
                <w:szCs w:val="18"/>
                <w:lang w:val="es-PR"/>
              </w:rPr>
              <w:t xml:space="preserve"> </w:t>
            </w:r>
            <w:r w:rsidRPr="00941893">
              <w:rPr>
                <w:rFonts w:ascii="Century Gothic" w:hAnsi="Century Gothic"/>
                <w:sz w:val="18"/>
                <w:szCs w:val="18"/>
                <w:lang w:val="es-PR"/>
              </w:rPr>
              <w:t>.</w:t>
            </w:r>
          </w:p>
          <w:p w14:paraId="46AC417B" w14:textId="77777777" w:rsidR="002D63C7" w:rsidRPr="00941893" w:rsidRDefault="002D63C7" w:rsidP="002D63C7">
            <w:pPr>
              <w:jc w:val="both"/>
              <w:rPr>
                <w:rFonts w:ascii="Century Gothic" w:hAnsi="Century Gothic"/>
                <w:sz w:val="18"/>
                <w:szCs w:val="18"/>
                <w:lang w:val="es-PR"/>
              </w:rPr>
            </w:pPr>
          </w:p>
          <w:p w14:paraId="5972A771" w14:textId="77777777" w:rsidR="000C3C02" w:rsidRPr="00941893" w:rsidRDefault="000C3C02" w:rsidP="004B49AB">
            <w:pPr>
              <w:jc w:val="both"/>
              <w:textAlignment w:val="baseline"/>
              <w:rPr>
                <w:rFonts w:ascii="Century Gothic" w:eastAsia="Times New Roman" w:hAnsi="Century Gothic" w:cs="Segoe UI"/>
                <w:sz w:val="18"/>
                <w:szCs w:val="18"/>
                <w:lang w:val="es-PR"/>
              </w:rPr>
            </w:pPr>
          </w:p>
          <w:p w14:paraId="7F076768" w14:textId="2468CCB8" w:rsidR="004B49AB" w:rsidRPr="00941893" w:rsidRDefault="004B49AB" w:rsidP="004B49AB">
            <w:pPr>
              <w:jc w:val="both"/>
              <w:textAlignment w:val="baseline"/>
              <w:rPr>
                <w:rFonts w:ascii="Century Gothic" w:eastAsia="Times New Roman" w:hAnsi="Century Gothic" w:cs="Segoe UI"/>
                <w:b/>
                <w:bCs/>
                <w:sz w:val="18"/>
                <w:szCs w:val="18"/>
                <w:lang w:val="es-PR"/>
              </w:rPr>
            </w:pPr>
            <w:r w:rsidRPr="00941893">
              <w:rPr>
                <w:rFonts w:ascii="Century Gothic" w:eastAsia="Times New Roman" w:hAnsi="Century Gothic" w:cs="Times New Roman"/>
                <w:b/>
                <w:bCs/>
                <w:sz w:val="18"/>
                <w:szCs w:val="18"/>
                <w:lang w:val="es"/>
              </w:rPr>
              <w:t>Fecha</w:t>
            </w:r>
            <w:r w:rsidRPr="00941893">
              <w:rPr>
                <w:rFonts w:ascii="Century Gothic" w:eastAsia="Times New Roman" w:hAnsi="Century Gothic" w:cs="Times New Roman"/>
                <w:b/>
                <w:sz w:val="18"/>
                <w:szCs w:val="18"/>
                <w:lang w:val="es"/>
              </w:rPr>
              <w:t xml:space="preserve">: </w:t>
            </w:r>
            <w:r w:rsidR="00920D7D">
              <w:rPr>
                <w:rFonts w:ascii="Century Gothic" w:eastAsia="Times New Roman" w:hAnsi="Century Gothic" w:cs="Times New Roman"/>
                <w:b/>
                <w:sz w:val="18"/>
                <w:szCs w:val="18"/>
                <w:lang w:val="es"/>
              </w:rPr>
              <w:t>2 de junio de 2023</w:t>
            </w:r>
          </w:p>
          <w:p w14:paraId="6B7579AB" w14:textId="77777777" w:rsidR="00B82EE8" w:rsidRPr="00941893" w:rsidRDefault="00B82EE8" w:rsidP="000973D0">
            <w:pPr>
              <w:jc w:val="center"/>
              <w:rPr>
                <w:rFonts w:ascii="Century Gothic" w:eastAsia="Times New Roman" w:hAnsi="Century Gothic" w:cs="Times New Roman"/>
                <w:b/>
                <w:bCs/>
                <w:sz w:val="18"/>
                <w:szCs w:val="18"/>
                <w:lang w:val="es-PR"/>
              </w:rPr>
            </w:pPr>
          </w:p>
          <w:p w14:paraId="34439DEF" w14:textId="057ED35B" w:rsidR="003A3671" w:rsidRPr="00941893" w:rsidRDefault="003A3671" w:rsidP="000973D0">
            <w:pPr>
              <w:contextualSpacing/>
              <w:jc w:val="both"/>
              <w:rPr>
                <w:rFonts w:ascii="Century Gothic" w:eastAsia="Times New Roman" w:hAnsi="Century Gothic" w:cs="Times New Roman"/>
                <w:sz w:val="18"/>
                <w:szCs w:val="18"/>
                <w:lang w:val="es-ES_tradnl"/>
              </w:rPr>
            </w:pPr>
          </w:p>
          <w:p w14:paraId="3731CE71" w14:textId="79DE254F" w:rsidR="002F0C55" w:rsidRPr="00941893" w:rsidRDefault="002F0C55" w:rsidP="000973D0">
            <w:pPr>
              <w:contextualSpacing/>
              <w:jc w:val="both"/>
              <w:rPr>
                <w:rFonts w:ascii="Century Gothic" w:eastAsia="Times New Roman" w:hAnsi="Century Gothic" w:cs="Times New Roman"/>
                <w:sz w:val="18"/>
                <w:szCs w:val="18"/>
                <w:lang w:val="es-ES_tradnl"/>
              </w:rPr>
            </w:pPr>
          </w:p>
          <w:p w14:paraId="0CC996F3" w14:textId="0E99FFBE" w:rsidR="002F0C55" w:rsidRPr="00941893" w:rsidRDefault="002F0C55" w:rsidP="000973D0">
            <w:pPr>
              <w:contextualSpacing/>
              <w:jc w:val="both"/>
              <w:rPr>
                <w:rFonts w:ascii="Century Gothic" w:eastAsia="Times New Roman" w:hAnsi="Century Gothic" w:cs="Times New Roman"/>
                <w:sz w:val="18"/>
                <w:szCs w:val="18"/>
                <w:lang w:val="es-ES_tradnl"/>
              </w:rPr>
            </w:pPr>
          </w:p>
          <w:p w14:paraId="2CB0B036" w14:textId="04FFEB03" w:rsidR="002F0C55" w:rsidRPr="00941893" w:rsidRDefault="002F0C55" w:rsidP="000973D0">
            <w:pPr>
              <w:contextualSpacing/>
              <w:jc w:val="both"/>
              <w:rPr>
                <w:rFonts w:ascii="Century Gothic" w:eastAsia="Times New Roman" w:hAnsi="Century Gothic" w:cs="Times New Roman"/>
                <w:sz w:val="18"/>
                <w:szCs w:val="18"/>
                <w:lang w:val="es-ES_tradnl"/>
              </w:rPr>
            </w:pPr>
          </w:p>
          <w:p w14:paraId="0CF8D30B" w14:textId="657D7B16" w:rsidR="002F0C55" w:rsidRPr="00941893" w:rsidRDefault="00855788" w:rsidP="00855788">
            <w:pPr>
              <w:contextualSpacing/>
              <w:jc w:val="both"/>
              <w:rPr>
                <w:rFonts w:ascii="Century Gothic" w:hAnsi="Century Gothic"/>
                <w:sz w:val="18"/>
                <w:szCs w:val="18"/>
                <w:lang w:val="es-ES_tradnl"/>
              </w:rPr>
            </w:pPr>
            <w:r w:rsidRPr="00941893">
              <w:rPr>
                <w:rFonts w:ascii="Century Gothic" w:hAnsi="Century Gothic"/>
                <w:sz w:val="18"/>
                <w:szCs w:val="18"/>
                <w:lang w:val="es-ES_tradnl"/>
              </w:rPr>
              <w:t xml:space="preserve">Lcdo. William O. Rodríguez </w:t>
            </w:r>
            <w:proofErr w:type="spellStart"/>
            <w:r w:rsidRPr="00941893">
              <w:rPr>
                <w:rFonts w:ascii="Century Gothic" w:hAnsi="Century Gothic"/>
                <w:sz w:val="18"/>
                <w:szCs w:val="18"/>
                <w:lang w:val="es-ES_tradnl"/>
              </w:rPr>
              <w:t>Rodríguez</w:t>
            </w:r>
            <w:proofErr w:type="spellEnd"/>
          </w:p>
          <w:p w14:paraId="1FC395BA" w14:textId="6FC52252" w:rsidR="00855788" w:rsidRPr="00941893" w:rsidRDefault="00855788" w:rsidP="00941893">
            <w:pPr>
              <w:contextualSpacing/>
              <w:jc w:val="both"/>
              <w:rPr>
                <w:rFonts w:ascii="Century Gothic" w:hAnsi="Century Gothic"/>
                <w:sz w:val="18"/>
                <w:szCs w:val="18"/>
                <w:lang w:val="es-ES_tradnl"/>
              </w:rPr>
            </w:pPr>
            <w:r w:rsidRPr="00941893">
              <w:rPr>
                <w:rFonts w:ascii="Century Gothic" w:hAnsi="Century Gothic"/>
                <w:sz w:val="18"/>
                <w:szCs w:val="18"/>
                <w:lang w:val="es-ES_tradnl"/>
              </w:rPr>
              <w:t>Secretario del Departamento de la Vivienda</w:t>
            </w:r>
          </w:p>
        </w:tc>
        <w:tc>
          <w:tcPr>
            <w:tcW w:w="7650" w:type="dxa"/>
          </w:tcPr>
          <w:p w14:paraId="030F4CD6" w14:textId="78DAD062" w:rsidR="00B82EE8" w:rsidRPr="00920D7D" w:rsidRDefault="009334A0" w:rsidP="00A40520">
            <w:pPr>
              <w:jc w:val="right"/>
              <w:rPr>
                <w:rFonts w:ascii="Century Gothic" w:hAnsi="Century Gothic"/>
                <w:b/>
                <w:bCs/>
                <w:sz w:val="72"/>
                <w:szCs w:val="72"/>
              </w:rPr>
            </w:pPr>
            <w:r w:rsidRPr="00941893">
              <w:rPr>
                <w:rFonts w:ascii="Century Gothic" w:hAnsi="Century Gothic"/>
                <w:b/>
                <w:bCs/>
                <w:color w:val="7F7F7F" w:themeColor="text1" w:themeTint="80"/>
                <w:sz w:val="18"/>
                <w:szCs w:val="18"/>
              </w:rPr>
              <w:lastRenderedPageBreak/>
              <w:t xml:space="preserve">       </w:t>
            </w:r>
            <w:r w:rsidR="00B82EE8" w:rsidRPr="00920D7D">
              <w:rPr>
                <w:rFonts w:ascii="Century Gothic" w:hAnsi="Century Gothic"/>
                <w:b/>
                <w:bCs/>
                <w:color w:val="7F7F7F" w:themeColor="text1" w:themeTint="80"/>
                <w:sz w:val="72"/>
                <w:szCs w:val="72"/>
              </w:rPr>
              <w:t>public notice</w:t>
            </w:r>
          </w:p>
          <w:p w14:paraId="68346F15" w14:textId="77777777" w:rsidR="00B82EE8" w:rsidRPr="00941893" w:rsidRDefault="00B82EE8" w:rsidP="00111E82">
            <w:pPr>
              <w:jc w:val="both"/>
              <w:rPr>
                <w:rFonts w:ascii="Century Gothic" w:hAnsi="Century Gothic"/>
                <w:b/>
                <w:bCs/>
                <w:sz w:val="18"/>
                <w:szCs w:val="18"/>
              </w:rPr>
            </w:pPr>
          </w:p>
          <w:p w14:paraId="2D729761" w14:textId="77777777" w:rsidR="00B82EE8" w:rsidRPr="00941893" w:rsidRDefault="00B82EE8" w:rsidP="00111E82">
            <w:pPr>
              <w:jc w:val="both"/>
              <w:rPr>
                <w:rFonts w:ascii="Century Gothic" w:hAnsi="Century Gothic"/>
                <w:b/>
                <w:bCs/>
                <w:sz w:val="18"/>
                <w:szCs w:val="18"/>
              </w:rPr>
            </w:pPr>
          </w:p>
          <w:p w14:paraId="4D33F292" w14:textId="77777777" w:rsidR="00AB327B" w:rsidRPr="00941893" w:rsidRDefault="00AB327B" w:rsidP="00AB327B">
            <w:pPr>
              <w:jc w:val="center"/>
              <w:rPr>
                <w:rFonts w:ascii="Century Gothic" w:hAnsi="Century Gothic" w:cs="Times New Roman"/>
                <w:b/>
                <w:bCs/>
                <w:sz w:val="18"/>
                <w:szCs w:val="18"/>
              </w:rPr>
            </w:pPr>
            <w:r w:rsidRPr="00941893">
              <w:rPr>
                <w:rFonts w:ascii="Century Gothic" w:hAnsi="Century Gothic" w:cs="Times New Roman"/>
                <w:b/>
                <w:bCs/>
                <w:sz w:val="18"/>
                <w:szCs w:val="18"/>
              </w:rPr>
              <w:t>PUERTO RICO DEPARTMENT OF HOUSING</w:t>
            </w:r>
          </w:p>
          <w:p w14:paraId="5CEDB13D" w14:textId="77777777" w:rsidR="00AB327B" w:rsidRPr="00941893" w:rsidRDefault="00AB327B" w:rsidP="00AB327B">
            <w:pPr>
              <w:jc w:val="center"/>
              <w:rPr>
                <w:rFonts w:ascii="Century Gothic" w:hAnsi="Century Gothic" w:cs="Times New Roman"/>
                <w:b/>
                <w:bCs/>
                <w:sz w:val="18"/>
                <w:szCs w:val="18"/>
              </w:rPr>
            </w:pPr>
            <w:r w:rsidRPr="00941893">
              <w:rPr>
                <w:rFonts w:ascii="Century Gothic" w:hAnsi="Century Gothic" w:cs="Times New Roman"/>
                <w:b/>
                <w:bCs/>
                <w:sz w:val="18"/>
                <w:szCs w:val="18"/>
              </w:rPr>
              <w:t>NOTICE OF INTENT TO ADOPT A FINAL ENVIRONMENTAL IMPACT STATEMENT</w:t>
            </w:r>
          </w:p>
          <w:p w14:paraId="25B56813" w14:textId="77777777" w:rsidR="00AB327B" w:rsidRPr="00941893" w:rsidRDefault="00AB327B" w:rsidP="00AB327B">
            <w:pPr>
              <w:jc w:val="center"/>
              <w:rPr>
                <w:rFonts w:ascii="Century Gothic" w:hAnsi="Century Gothic" w:cs="Times New Roman"/>
                <w:b/>
                <w:bCs/>
                <w:sz w:val="18"/>
                <w:szCs w:val="18"/>
              </w:rPr>
            </w:pPr>
          </w:p>
          <w:p w14:paraId="3B665E7E" w14:textId="40A3A7D0" w:rsidR="00AB327B" w:rsidRPr="00941893" w:rsidRDefault="00AB327B" w:rsidP="00AB327B">
            <w:pPr>
              <w:spacing w:line="256" w:lineRule="auto"/>
              <w:jc w:val="center"/>
              <w:rPr>
                <w:rFonts w:ascii="Century Gothic" w:hAnsi="Century Gothic"/>
                <w:sz w:val="18"/>
                <w:szCs w:val="18"/>
              </w:rPr>
            </w:pPr>
            <w:r w:rsidRPr="00941893">
              <w:rPr>
                <w:rFonts w:ascii="Century Gothic" w:hAnsi="Century Gothic"/>
                <w:sz w:val="18"/>
                <w:szCs w:val="18"/>
              </w:rPr>
              <w:t xml:space="preserve">PR-10 HIGHWAY PROJECT TO COMPLETE THE </w:t>
            </w:r>
            <w:r w:rsidR="00BE17D7" w:rsidRPr="00941893">
              <w:rPr>
                <w:rFonts w:ascii="Century Gothic" w:hAnsi="Century Gothic"/>
                <w:sz w:val="18"/>
                <w:szCs w:val="18"/>
              </w:rPr>
              <w:t xml:space="preserve">SEGMENTS </w:t>
            </w:r>
            <w:r w:rsidR="003B6117" w:rsidRPr="00941893">
              <w:rPr>
                <w:rFonts w:ascii="Century Gothic" w:hAnsi="Century Gothic"/>
                <w:sz w:val="18"/>
                <w:szCs w:val="18"/>
              </w:rPr>
              <w:t xml:space="preserve">BETWEEN </w:t>
            </w:r>
            <w:r w:rsidRPr="00941893">
              <w:rPr>
                <w:rFonts w:ascii="Century Gothic" w:hAnsi="Century Gothic"/>
                <w:sz w:val="18"/>
                <w:szCs w:val="18"/>
              </w:rPr>
              <w:t>UTUADO AND ADJUNTAS, PUERTO RICO</w:t>
            </w:r>
          </w:p>
          <w:p w14:paraId="6143ED73" w14:textId="77777777" w:rsidR="00AB327B" w:rsidRPr="00941893" w:rsidRDefault="00AB327B" w:rsidP="00AB327B">
            <w:pPr>
              <w:jc w:val="center"/>
              <w:rPr>
                <w:rFonts w:ascii="Century Gothic" w:hAnsi="Century Gothic" w:cs="Times New Roman"/>
                <w:sz w:val="18"/>
                <w:szCs w:val="18"/>
              </w:rPr>
            </w:pPr>
            <w:r w:rsidRPr="00941893">
              <w:rPr>
                <w:rFonts w:ascii="Century Gothic" w:hAnsi="Century Gothic" w:cs="Calibri"/>
                <w:sz w:val="18"/>
                <w:szCs w:val="18"/>
              </w:rPr>
              <w:t>AC-100069, AC-1010071, AC-100055 &amp; AC-100076</w:t>
            </w:r>
          </w:p>
          <w:p w14:paraId="05F94147" w14:textId="77777777" w:rsidR="00AB327B" w:rsidRPr="00941893" w:rsidRDefault="00AB327B" w:rsidP="00AB327B">
            <w:pPr>
              <w:jc w:val="both"/>
              <w:rPr>
                <w:rFonts w:ascii="Century Gothic" w:hAnsi="Century Gothic"/>
                <w:sz w:val="18"/>
                <w:szCs w:val="18"/>
              </w:rPr>
            </w:pPr>
            <w:r w:rsidRPr="00941893">
              <w:rPr>
                <w:rFonts w:ascii="Century Gothic" w:hAnsi="Century Gothic"/>
                <w:b/>
                <w:bCs/>
                <w:sz w:val="18"/>
                <w:szCs w:val="18"/>
              </w:rPr>
              <w:tab/>
            </w:r>
          </w:p>
          <w:p w14:paraId="588D93AB" w14:textId="77777777" w:rsidR="00BE17D7" w:rsidRPr="00941893" w:rsidRDefault="00BE17D7" w:rsidP="00AB327B">
            <w:pPr>
              <w:spacing w:after="240"/>
              <w:jc w:val="both"/>
              <w:rPr>
                <w:rFonts w:ascii="Century Gothic" w:eastAsia="Adobe Fangsong Std R" w:hAnsi="Century Gothic" w:cs="Times New Roman"/>
                <w:sz w:val="18"/>
                <w:szCs w:val="18"/>
              </w:rPr>
            </w:pPr>
          </w:p>
          <w:p w14:paraId="4649F4DE" w14:textId="1C7BE85A" w:rsidR="00AB327B" w:rsidRPr="00941893" w:rsidRDefault="00AB327B" w:rsidP="00AB327B">
            <w:pPr>
              <w:spacing w:after="240"/>
              <w:jc w:val="both"/>
              <w:rPr>
                <w:rFonts w:ascii="Century Gothic" w:eastAsia="Adobe Fangsong Std R" w:hAnsi="Century Gothic" w:cs="Times New Roman"/>
                <w:sz w:val="18"/>
                <w:szCs w:val="18"/>
              </w:rPr>
            </w:pPr>
            <w:r w:rsidRPr="00941893">
              <w:rPr>
                <w:rFonts w:ascii="Century Gothic" w:eastAsia="Adobe Fangsong Std R" w:hAnsi="Century Gothic" w:cs="Times New Roman"/>
                <w:sz w:val="18"/>
                <w:szCs w:val="18"/>
              </w:rPr>
              <w:t>To: All Interested Parties, Groups &amp; Individuals</w:t>
            </w:r>
          </w:p>
          <w:p w14:paraId="1E43CBB5" w14:textId="7947F4C6" w:rsidR="00AB327B" w:rsidRPr="00941893" w:rsidRDefault="00AB327B" w:rsidP="00AB327B">
            <w:pPr>
              <w:jc w:val="both"/>
              <w:rPr>
                <w:rFonts w:ascii="Century Gothic" w:hAnsi="Century Gothic"/>
                <w:sz w:val="18"/>
                <w:szCs w:val="18"/>
              </w:rPr>
            </w:pPr>
            <w:bookmarkStart w:id="0" w:name="_Hlk126583886"/>
            <w:r w:rsidRPr="00941893">
              <w:rPr>
                <w:rStyle w:val="normaltextrun"/>
                <w:rFonts w:ascii="Century Gothic" w:hAnsi="Century Gothic"/>
                <w:color w:val="000000"/>
                <w:sz w:val="18"/>
                <w:szCs w:val="18"/>
                <w:shd w:val="clear" w:color="auto" w:fill="FFFFFF"/>
              </w:rPr>
              <w:t xml:space="preserve">The referenced </w:t>
            </w:r>
            <w:r w:rsidRPr="00941893">
              <w:rPr>
                <w:rFonts w:ascii="Century Gothic" w:hAnsi="Century Gothic"/>
                <w:sz w:val="18"/>
                <w:szCs w:val="18"/>
              </w:rPr>
              <w:t>project has been selected by the Puerto Rico Department of Housing (</w:t>
            </w:r>
            <w:r w:rsidRPr="00941893">
              <w:rPr>
                <w:rFonts w:ascii="Century Gothic" w:hAnsi="Century Gothic"/>
                <w:b/>
                <w:bCs/>
                <w:sz w:val="18"/>
                <w:szCs w:val="18"/>
              </w:rPr>
              <w:t>PRDOH</w:t>
            </w:r>
            <w:r w:rsidRPr="00941893">
              <w:rPr>
                <w:rFonts w:ascii="Century Gothic" w:hAnsi="Century Gothic"/>
                <w:sz w:val="18"/>
                <w:szCs w:val="18"/>
              </w:rPr>
              <w:t xml:space="preserve">) as a Strategic Project under the Community Development Block Grant – Mitigation (CDBG-MIT Grant number B-18-DP-72-0002), Infrastructure Mitigation Program. </w:t>
            </w:r>
            <w:r w:rsidR="00B70004" w:rsidRPr="00941893">
              <w:rPr>
                <w:rFonts w:ascii="Century Gothic" w:hAnsi="Century Gothic"/>
                <w:sz w:val="18"/>
                <w:szCs w:val="18"/>
              </w:rPr>
              <w:t xml:space="preserve"> </w:t>
            </w:r>
            <w:r w:rsidRPr="00941893">
              <w:rPr>
                <w:rFonts w:ascii="Century Gothic" w:hAnsi="Century Gothic"/>
                <w:sz w:val="18"/>
                <w:szCs w:val="18"/>
              </w:rPr>
              <w:t xml:space="preserve">An Environmental Impact Statement </w:t>
            </w:r>
            <w:r w:rsidRPr="00941893">
              <w:rPr>
                <w:rFonts w:ascii="Century Gothic" w:hAnsi="Century Gothic" w:cstheme="minorHAnsi"/>
                <w:sz w:val="18"/>
                <w:szCs w:val="18"/>
              </w:rPr>
              <w:t>(EIS) for this project was originally prepared in 1979 by Puerto Rico Highway Transportation Authority (</w:t>
            </w:r>
            <w:r w:rsidRPr="00941893">
              <w:rPr>
                <w:rFonts w:ascii="Century Gothic" w:hAnsi="Century Gothic" w:cstheme="minorHAnsi"/>
                <w:b/>
                <w:bCs/>
                <w:sz w:val="18"/>
                <w:szCs w:val="18"/>
              </w:rPr>
              <w:t>PRHTA</w:t>
            </w:r>
            <w:r w:rsidRPr="00941893">
              <w:rPr>
                <w:rFonts w:ascii="Century Gothic" w:hAnsi="Century Gothic" w:cstheme="minorHAnsi"/>
                <w:sz w:val="18"/>
                <w:szCs w:val="18"/>
              </w:rPr>
              <w:t xml:space="preserve">) and published </w:t>
            </w:r>
            <w:r w:rsidRPr="00941893">
              <w:rPr>
                <w:rFonts w:ascii="Century Gothic" w:hAnsi="Century Gothic"/>
                <w:sz w:val="18"/>
                <w:szCs w:val="18"/>
              </w:rPr>
              <w:t>by the Federal Highway Administration (</w:t>
            </w:r>
            <w:r w:rsidRPr="00941893">
              <w:rPr>
                <w:rFonts w:ascii="Century Gothic" w:hAnsi="Century Gothic"/>
                <w:b/>
                <w:bCs/>
                <w:sz w:val="18"/>
                <w:szCs w:val="18"/>
              </w:rPr>
              <w:t>FHWA</w:t>
            </w:r>
            <w:r w:rsidRPr="00941893">
              <w:rPr>
                <w:rFonts w:ascii="Century Gothic" w:hAnsi="Century Gothic"/>
                <w:sz w:val="18"/>
                <w:szCs w:val="18"/>
              </w:rPr>
              <w:t xml:space="preserve">)as the lead agency of the project. </w:t>
            </w:r>
            <w:r w:rsidR="00B70004" w:rsidRPr="00941893">
              <w:rPr>
                <w:rFonts w:ascii="Century Gothic" w:hAnsi="Century Gothic"/>
                <w:sz w:val="18"/>
                <w:szCs w:val="18"/>
              </w:rPr>
              <w:t xml:space="preserve"> </w:t>
            </w:r>
            <w:r w:rsidRPr="00941893">
              <w:rPr>
                <w:rFonts w:ascii="Century Gothic" w:hAnsi="Century Gothic"/>
                <w:sz w:val="18"/>
                <w:szCs w:val="18"/>
              </w:rPr>
              <w:t xml:space="preserve">Furthermore, the EIS has since been reevaluated and updated by PRHTA and submitted to FHWA with the intent of keeping the </w:t>
            </w:r>
            <w:r w:rsidR="00E93139" w:rsidRPr="00941893">
              <w:rPr>
                <w:rFonts w:ascii="Century Gothic" w:hAnsi="Century Gothic"/>
                <w:sz w:val="18"/>
                <w:szCs w:val="18"/>
              </w:rPr>
              <w:t>document current</w:t>
            </w:r>
            <w:r w:rsidR="000C3C02" w:rsidRPr="00941893">
              <w:rPr>
                <w:rFonts w:ascii="Century Gothic" w:hAnsi="Century Gothic"/>
                <w:sz w:val="18"/>
                <w:szCs w:val="18"/>
              </w:rPr>
              <w:t xml:space="preserve"> to</w:t>
            </w:r>
            <w:r w:rsidRPr="00941893">
              <w:rPr>
                <w:rFonts w:ascii="Century Gothic" w:hAnsi="Century Gothic"/>
                <w:sz w:val="18"/>
                <w:szCs w:val="18"/>
              </w:rPr>
              <w:t xml:space="preserve"> environmental conditions and regulations. In accordance with the National Environmental Policy Act, the Final EIS identifies and evaluates the environmental impacts of the PR-10 Roadway Project.  The PRDOH intends to adopt the Final EIS and provide funding for the completion of the project in accordance with the CDBG-MIT grant funding source indicated above.</w:t>
            </w:r>
          </w:p>
          <w:p w14:paraId="29EA972D" w14:textId="77777777" w:rsidR="00AB327B" w:rsidRPr="00941893" w:rsidRDefault="00AB327B" w:rsidP="00AB327B">
            <w:pPr>
              <w:jc w:val="both"/>
              <w:rPr>
                <w:rFonts w:ascii="Century Gothic" w:hAnsi="Century Gothic"/>
                <w:sz w:val="18"/>
                <w:szCs w:val="18"/>
              </w:rPr>
            </w:pPr>
          </w:p>
          <w:p w14:paraId="27B66A92" w14:textId="5D688244" w:rsidR="00AB327B" w:rsidRPr="00941893" w:rsidRDefault="00AB327B" w:rsidP="00AB327B">
            <w:pPr>
              <w:jc w:val="both"/>
              <w:rPr>
                <w:rFonts w:ascii="Century Gothic" w:hAnsi="Century Gothic" w:cs="Times New Roman"/>
                <w:sz w:val="18"/>
                <w:szCs w:val="18"/>
              </w:rPr>
            </w:pPr>
            <w:r w:rsidRPr="00941893">
              <w:rPr>
                <w:rFonts w:ascii="Century Gothic" w:hAnsi="Century Gothic"/>
                <w:b/>
                <w:bCs/>
                <w:sz w:val="18"/>
                <w:szCs w:val="18"/>
              </w:rPr>
              <w:t xml:space="preserve">Project Location: </w:t>
            </w:r>
            <w:r w:rsidRPr="00941893">
              <w:rPr>
                <w:rFonts w:ascii="Century Gothic" w:hAnsi="Century Gothic" w:cs="Times New Roman"/>
                <w:sz w:val="18"/>
                <w:szCs w:val="18"/>
              </w:rPr>
              <w:t xml:space="preserve">The PR-10 was constructed in stages and all that remains is an approximately </w:t>
            </w:r>
            <w:r w:rsidR="00E93139" w:rsidRPr="00941893">
              <w:rPr>
                <w:rFonts w:ascii="Century Gothic" w:hAnsi="Century Gothic" w:cs="Times New Roman"/>
                <w:sz w:val="18"/>
                <w:szCs w:val="18"/>
              </w:rPr>
              <w:t>7.6-kilometer</w:t>
            </w:r>
            <w:r w:rsidRPr="00941893">
              <w:rPr>
                <w:rFonts w:ascii="Century Gothic" w:hAnsi="Century Gothic" w:cs="Times New Roman"/>
                <w:sz w:val="18"/>
                <w:szCs w:val="18"/>
              </w:rPr>
              <w:t xml:space="preserve"> portion in Utuado and Adjuntas. It will connect the northern portion of the completed roadway, from the junction of PR-2 in Arecibo southward to the terminus of the completed portion at Highway 123 in southern Utuado (approximately 18.236923</w:t>
            </w:r>
            <w:r w:rsidRPr="00941893">
              <w:rPr>
                <w:rFonts w:ascii="Century Gothic" w:hAnsi="Century Gothic" w:cs="Times New Roman"/>
                <w:sz w:val="18"/>
                <w:szCs w:val="18"/>
                <w:vertAlign w:val="superscript"/>
              </w:rPr>
              <w:t>o</w:t>
            </w:r>
            <w:r w:rsidRPr="00941893">
              <w:rPr>
                <w:rFonts w:ascii="Century Gothic" w:hAnsi="Century Gothic" w:cs="Times New Roman"/>
                <w:sz w:val="18"/>
                <w:szCs w:val="18"/>
              </w:rPr>
              <w:t xml:space="preserve"> N and 66.719937</w:t>
            </w:r>
            <w:r w:rsidRPr="00941893">
              <w:rPr>
                <w:rFonts w:ascii="Century Gothic" w:hAnsi="Century Gothic" w:cs="Times New Roman"/>
                <w:sz w:val="18"/>
                <w:szCs w:val="18"/>
                <w:vertAlign w:val="superscript"/>
              </w:rPr>
              <w:t>o</w:t>
            </w:r>
            <w:r w:rsidRPr="00941893">
              <w:rPr>
                <w:rFonts w:ascii="Century Gothic" w:hAnsi="Century Gothic" w:cs="Times New Roman"/>
                <w:sz w:val="18"/>
                <w:szCs w:val="18"/>
              </w:rPr>
              <w:t xml:space="preserve"> W).  The southern portion of the completed roadway progresses northward from the junction of PR-5506 in Ponce to the terminus at Highway 123 in central Adjuntas (approximately 18.181077</w:t>
            </w:r>
            <w:r w:rsidRPr="00941893">
              <w:rPr>
                <w:rFonts w:ascii="Century Gothic" w:hAnsi="Century Gothic" w:cs="Times New Roman"/>
                <w:sz w:val="18"/>
                <w:szCs w:val="18"/>
                <w:vertAlign w:val="superscript"/>
              </w:rPr>
              <w:t>o</w:t>
            </w:r>
            <w:r w:rsidRPr="00941893">
              <w:rPr>
                <w:rFonts w:ascii="Century Gothic" w:hAnsi="Century Gothic" w:cs="Times New Roman"/>
                <w:sz w:val="18"/>
                <w:szCs w:val="18"/>
              </w:rPr>
              <w:t xml:space="preserve"> N and 66.736949</w:t>
            </w:r>
            <w:r w:rsidRPr="00941893">
              <w:rPr>
                <w:rFonts w:ascii="Century Gothic" w:hAnsi="Century Gothic" w:cs="Times New Roman"/>
                <w:sz w:val="18"/>
                <w:szCs w:val="18"/>
                <w:vertAlign w:val="superscript"/>
              </w:rPr>
              <w:t>o</w:t>
            </w:r>
            <w:r w:rsidRPr="00941893">
              <w:rPr>
                <w:rFonts w:ascii="Century Gothic" w:hAnsi="Century Gothic" w:cs="Times New Roman"/>
                <w:sz w:val="18"/>
                <w:szCs w:val="18"/>
              </w:rPr>
              <w:t xml:space="preserve"> W). </w:t>
            </w:r>
          </w:p>
          <w:p w14:paraId="0F2F9FAA" w14:textId="77777777" w:rsidR="000C3C02" w:rsidRPr="00941893" w:rsidRDefault="000C3C02" w:rsidP="00AB327B">
            <w:pPr>
              <w:spacing w:line="256" w:lineRule="auto"/>
              <w:jc w:val="both"/>
              <w:rPr>
                <w:rFonts w:ascii="Century Gothic" w:hAnsi="Century Gothic"/>
                <w:b/>
                <w:sz w:val="18"/>
                <w:szCs w:val="18"/>
              </w:rPr>
            </w:pPr>
          </w:p>
          <w:p w14:paraId="0E4DDC23" w14:textId="442E964A" w:rsidR="00AB327B" w:rsidRPr="00941893" w:rsidRDefault="00AB327B" w:rsidP="00AB327B">
            <w:pPr>
              <w:spacing w:line="256" w:lineRule="auto"/>
              <w:jc w:val="both"/>
              <w:rPr>
                <w:rFonts w:ascii="Century Gothic" w:hAnsi="Century Gothic"/>
                <w:bCs/>
                <w:sz w:val="18"/>
                <w:szCs w:val="18"/>
              </w:rPr>
            </w:pPr>
            <w:r w:rsidRPr="00941893">
              <w:rPr>
                <w:rFonts w:ascii="Century Gothic" w:hAnsi="Century Gothic"/>
                <w:b/>
                <w:sz w:val="18"/>
                <w:szCs w:val="18"/>
              </w:rPr>
              <w:t xml:space="preserve">Description of the Proposed Project:  </w:t>
            </w:r>
            <w:r w:rsidRPr="00941893">
              <w:rPr>
                <w:rFonts w:ascii="Century Gothic" w:hAnsi="Century Gothic"/>
                <w:bCs/>
                <w:sz w:val="18"/>
                <w:szCs w:val="18"/>
              </w:rPr>
              <w:t>The overall road project has been built in Phases.  As of now, there exists only four (4) sections left to be constructed, comprising a total of approximately 7.</w:t>
            </w:r>
            <w:r w:rsidR="00941893" w:rsidRPr="00941893">
              <w:rPr>
                <w:rFonts w:ascii="Century Gothic" w:hAnsi="Century Gothic"/>
                <w:bCs/>
                <w:sz w:val="18"/>
                <w:szCs w:val="18"/>
              </w:rPr>
              <w:t>6</w:t>
            </w:r>
            <w:r w:rsidR="008306FE">
              <w:rPr>
                <w:rFonts w:ascii="Century Gothic" w:hAnsi="Century Gothic"/>
                <w:bCs/>
                <w:sz w:val="18"/>
                <w:szCs w:val="18"/>
              </w:rPr>
              <w:t>-</w:t>
            </w:r>
            <w:r w:rsidRPr="00941893">
              <w:rPr>
                <w:rFonts w:ascii="Century Gothic" w:hAnsi="Century Gothic"/>
                <w:bCs/>
                <w:sz w:val="18"/>
                <w:szCs w:val="18"/>
              </w:rPr>
              <w:t>kilometers:</w:t>
            </w:r>
          </w:p>
          <w:p w14:paraId="5C02F438" w14:textId="4A487F6F" w:rsidR="00AB327B" w:rsidRPr="00941893" w:rsidRDefault="008306FE" w:rsidP="008306FE">
            <w:pPr>
              <w:tabs>
                <w:tab w:val="left" w:pos="2020"/>
              </w:tabs>
              <w:spacing w:line="256" w:lineRule="auto"/>
              <w:jc w:val="both"/>
              <w:rPr>
                <w:rFonts w:ascii="Century Gothic" w:hAnsi="Century Gothic"/>
                <w:bCs/>
                <w:sz w:val="18"/>
                <w:szCs w:val="18"/>
              </w:rPr>
            </w:pPr>
            <w:r>
              <w:rPr>
                <w:rFonts w:ascii="Century Gothic" w:hAnsi="Century Gothic"/>
                <w:bCs/>
                <w:sz w:val="18"/>
                <w:szCs w:val="18"/>
              </w:rPr>
              <w:tab/>
            </w:r>
            <w:bookmarkStart w:id="1" w:name="_GoBack"/>
            <w:bookmarkEnd w:id="1"/>
          </w:p>
          <w:p w14:paraId="785FE973" w14:textId="77777777" w:rsidR="00AB327B" w:rsidRPr="00941893" w:rsidRDefault="00AB327B" w:rsidP="00AB327B">
            <w:pPr>
              <w:pStyle w:val="ListParagraph"/>
              <w:numPr>
                <w:ilvl w:val="0"/>
                <w:numId w:val="6"/>
              </w:numPr>
              <w:spacing w:line="256" w:lineRule="auto"/>
              <w:jc w:val="both"/>
              <w:rPr>
                <w:rFonts w:ascii="Century Gothic" w:hAnsi="Century Gothic"/>
                <w:bCs/>
                <w:sz w:val="18"/>
                <w:szCs w:val="18"/>
              </w:rPr>
            </w:pPr>
            <w:r w:rsidRPr="00941893">
              <w:rPr>
                <w:rFonts w:ascii="Century Gothic" w:hAnsi="Century Gothic"/>
                <w:bCs/>
                <w:sz w:val="18"/>
                <w:szCs w:val="18"/>
              </w:rPr>
              <w:t xml:space="preserve">Section II (AC-100069) – This section of the highway consists of the construction of PR-10 between civil stations 39+78.73 and 55+50.36 with a total length of 1.57 kilometers.  It runs southeast alongside the Rio Grande de Arecibo in the </w:t>
            </w:r>
            <w:r w:rsidRPr="00941893">
              <w:rPr>
                <w:rFonts w:ascii="Century Gothic" w:hAnsi="Century Gothic"/>
                <w:bCs/>
                <w:sz w:val="18"/>
                <w:szCs w:val="18"/>
              </w:rPr>
              <w:lastRenderedPageBreak/>
              <w:t>Guaonico neighborhood of the municipality of Utuado.  The highway’s typical section consists of an undivided highway with one (1) traffic lane of 3.65 meters in each direction, with an additional climbing lane in the southbound direction towards Adjuntas.  An exterior shoulder of 3.0 meters is provided in the northbound lane, while a 1.80 meters shoulder is provided in the southbound lane.</w:t>
            </w:r>
          </w:p>
          <w:p w14:paraId="128BCA34" w14:textId="77777777" w:rsidR="00AB327B" w:rsidRPr="00941893" w:rsidRDefault="00AB327B" w:rsidP="00AB327B">
            <w:pPr>
              <w:pStyle w:val="ListParagraph"/>
              <w:spacing w:line="256" w:lineRule="auto"/>
              <w:jc w:val="both"/>
              <w:rPr>
                <w:rFonts w:ascii="Century Gothic" w:hAnsi="Century Gothic"/>
                <w:bCs/>
                <w:sz w:val="18"/>
                <w:szCs w:val="18"/>
              </w:rPr>
            </w:pPr>
          </w:p>
          <w:p w14:paraId="796BA20E" w14:textId="7EDAA41B" w:rsidR="00AB327B" w:rsidRPr="00941893" w:rsidRDefault="00AB327B" w:rsidP="00BE69C4">
            <w:pPr>
              <w:pStyle w:val="BodyText"/>
              <w:numPr>
                <w:ilvl w:val="0"/>
                <w:numId w:val="6"/>
              </w:numPr>
              <w:kinsoku w:val="0"/>
              <w:overflowPunct w:val="0"/>
              <w:spacing w:line="256" w:lineRule="auto"/>
              <w:jc w:val="both"/>
              <w:rPr>
                <w:rFonts w:ascii="Century Gothic" w:hAnsi="Century Gothic"/>
                <w:bCs/>
                <w:sz w:val="18"/>
                <w:szCs w:val="18"/>
              </w:rPr>
            </w:pPr>
            <w:r w:rsidRPr="00941893">
              <w:rPr>
                <w:rFonts w:ascii="Century Gothic" w:hAnsi="Century Gothic"/>
                <w:bCs/>
                <w:sz w:val="18"/>
                <w:szCs w:val="18"/>
              </w:rPr>
              <w:t xml:space="preserve">Section III (AC-100071) – </w:t>
            </w:r>
            <w:r w:rsidRPr="00941893">
              <w:rPr>
                <w:rFonts w:ascii="Century Gothic" w:hAnsi="Century Gothic" w:cs="Times New Roman"/>
                <w:color w:val="2F3131"/>
                <w:w w:val="110"/>
                <w:sz w:val="18"/>
                <w:szCs w:val="18"/>
              </w:rPr>
              <w:t xml:space="preserve">This section </w:t>
            </w:r>
            <w:r w:rsidRPr="00941893">
              <w:rPr>
                <w:rFonts w:ascii="Century Gothic" w:hAnsi="Century Gothic" w:cs="Times New Roman"/>
                <w:color w:val="1D1F21"/>
                <w:w w:val="110"/>
                <w:sz w:val="18"/>
                <w:szCs w:val="18"/>
              </w:rPr>
              <w:t xml:space="preserve">of </w:t>
            </w:r>
            <w:r w:rsidRPr="00941893">
              <w:rPr>
                <w:rFonts w:ascii="Century Gothic" w:hAnsi="Century Gothic" w:cs="Times New Roman"/>
                <w:color w:val="2F3131"/>
                <w:w w:val="110"/>
                <w:sz w:val="18"/>
                <w:szCs w:val="18"/>
              </w:rPr>
              <w:t xml:space="preserve">PR-10 </w:t>
            </w:r>
            <w:r w:rsidRPr="00941893">
              <w:rPr>
                <w:rFonts w:ascii="Century Gothic" w:hAnsi="Century Gothic" w:cs="Times New Roman"/>
                <w:color w:val="1D1F21"/>
                <w:w w:val="110"/>
                <w:sz w:val="18"/>
                <w:szCs w:val="18"/>
              </w:rPr>
              <w:t xml:space="preserve">joins the previous </w:t>
            </w:r>
            <w:r w:rsidRPr="00941893">
              <w:rPr>
                <w:rFonts w:ascii="Century Gothic" w:hAnsi="Century Gothic" w:cs="Times New Roman"/>
                <w:color w:val="2F3131"/>
                <w:w w:val="110"/>
                <w:sz w:val="18"/>
                <w:szCs w:val="18"/>
              </w:rPr>
              <w:t xml:space="preserve">section and </w:t>
            </w:r>
            <w:r w:rsidRPr="00941893">
              <w:rPr>
                <w:rFonts w:ascii="Century Gothic" w:hAnsi="Century Gothic" w:cs="Times New Roman"/>
                <w:color w:val="1D1F21"/>
                <w:w w:val="110"/>
                <w:sz w:val="18"/>
                <w:szCs w:val="18"/>
              </w:rPr>
              <w:t xml:space="preserve">runs </w:t>
            </w:r>
            <w:r w:rsidRPr="00941893">
              <w:rPr>
                <w:rFonts w:ascii="Century Gothic" w:hAnsi="Century Gothic" w:cs="Times New Roman"/>
                <w:color w:val="2F3131"/>
                <w:w w:val="110"/>
                <w:sz w:val="18"/>
                <w:szCs w:val="18"/>
              </w:rPr>
              <w:t xml:space="preserve">southeast alongside Rio Grande </w:t>
            </w:r>
            <w:r w:rsidRPr="00941893">
              <w:rPr>
                <w:rFonts w:ascii="Century Gothic" w:hAnsi="Century Gothic" w:cs="Times New Roman"/>
                <w:color w:val="1D1F21"/>
                <w:w w:val="110"/>
                <w:sz w:val="18"/>
                <w:szCs w:val="18"/>
              </w:rPr>
              <w:t xml:space="preserve">de Arecibo </w:t>
            </w:r>
            <w:r w:rsidRPr="00941893">
              <w:rPr>
                <w:rFonts w:ascii="Century Gothic" w:hAnsi="Century Gothic" w:cs="Times New Roman"/>
                <w:color w:val="2F3131"/>
                <w:w w:val="110"/>
                <w:sz w:val="18"/>
                <w:szCs w:val="18"/>
              </w:rPr>
              <w:t xml:space="preserve">for </w:t>
            </w:r>
            <w:r w:rsidRPr="00941893">
              <w:rPr>
                <w:rFonts w:ascii="Century Gothic" w:hAnsi="Century Gothic" w:cs="Times New Roman"/>
                <w:color w:val="1D1F21"/>
                <w:w w:val="110"/>
                <w:sz w:val="18"/>
                <w:szCs w:val="18"/>
              </w:rPr>
              <w:t xml:space="preserve">1.84 kilometers. </w:t>
            </w:r>
            <w:r w:rsidRPr="00941893">
              <w:rPr>
                <w:rFonts w:ascii="Century Gothic" w:hAnsi="Century Gothic" w:cs="Times New Roman"/>
                <w:color w:val="2F3131"/>
                <w:w w:val="110"/>
                <w:sz w:val="18"/>
                <w:szCs w:val="18"/>
              </w:rPr>
              <w:t xml:space="preserve">The typical section of </w:t>
            </w:r>
            <w:r w:rsidRPr="00941893">
              <w:rPr>
                <w:rFonts w:ascii="Century Gothic" w:hAnsi="Century Gothic" w:cs="Times New Roman"/>
                <w:color w:val="1D1F21"/>
                <w:w w:val="110"/>
                <w:sz w:val="18"/>
                <w:szCs w:val="18"/>
              </w:rPr>
              <w:t xml:space="preserve">the highway </w:t>
            </w:r>
            <w:r w:rsidRPr="00941893">
              <w:rPr>
                <w:rFonts w:ascii="Century Gothic" w:hAnsi="Century Gothic" w:cs="Times New Roman"/>
                <w:color w:val="2F3131"/>
                <w:w w:val="110"/>
                <w:sz w:val="18"/>
                <w:szCs w:val="18"/>
              </w:rPr>
              <w:t xml:space="preserve">consists of an </w:t>
            </w:r>
            <w:r w:rsidRPr="00941893">
              <w:rPr>
                <w:rFonts w:ascii="Century Gothic" w:hAnsi="Century Gothic" w:cs="Times New Roman"/>
                <w:color w:val="1D1F21"/>
                <w:w w:val="110"/>
                <w:sz w:val="18"/>
                <w:szCs w:val="18"/>
              </w:rPr>
              <w:t xml:space="preserve">undivided highway </w:t>
            </w:r>
            <w:r w:rsidRPr="00941893">
              <w:rPr>
                <w:rFonts w:ascii="Century Gothic" w:hAnsi="Century Gothic" w:cs="Times New Roman"/>
                <w:color w:val="2F3131"/>
                <w:w w:val="110"/>
                <w:sz w:val="18"/>
                <w:szCs w:val="18"/>
              </w:rPr>
              <w:t xml:space="preserve">with one (1) </w:t>
            </w:r>
            <w:r w:rsidRPr="00941893">
              <w:rPr>
                <w:rFonts w:ascii="Century Gothic" w:hAnsi="Century Gothic" w:cs="Times New Roman"/>
                <w:color w:val="1D1F21"/>
                <w:w w:val="110"/>
                <w:sz w:val="18"/>
                <w:szCs w:val="18"/>
              </w:rPr>
              <w:t xml:space="preserve">traffic lane </w:t>
            </w:r>
            <w:r w:rsidRPr="00941893">
              <w:rPr>
                <w:rFonts w:ascii="Century Gothic" w:hAnsi="Century Gothic" w:cs="Times New Roman"/>
                <w:color w:val="2F3131"/>
                <w:w w:val="110"/>
                <w:sz w:val="18"/>
                <w:szCs w:val="18"/>
              </w:rPr>
              <w:t xml:space="preserve">of 3.65 </w:t>
            </w:r>
            <w:r w:rsidRPr="00941893">
              <w:rPr>
                <w:rFonts w:ascii="Century Gothic" w:hAnsi="Century Gothic" w:cs="Times New Roman"/>
                <w:color w:val="1D1F21"/>
                <w:w w:val="110"/>
                <w:sz w:val="18"/>
                <w:szCs w:val="18"/>
              </w:rPr>
              <w:t xml:space="preserve">meters </w:t>
            </w:r>
            <w:r w:rsidRPr="00941893">
              <w:rPr>
                <w:rFonts w:ascii="Century Gothic" w:hAnsi="Century Gothic" w:cs="Times New Roman"/>
                <w:color w:val="2F3131"/>
                <w:w w:val="110"/>
                <w:sz w:val="18"/>
                <w:szCs w:val="18"/>
              </w:rPr>
              <w:t xml:space="preserve">wide </w:t>
            </w:r>
            <w:r w:rsidRPr="00941893">
              <w:rPr>
                <w:rFonts w:ascii="Century Gothic" w:hAnsi="Century Gothic" w:cs="Times New Roman"/>
                <w:color w:val="1D1F21"/>
                <w:w w:val="110"/>
                <w:sz w:val="18"/>
                <w:szCs w:val="18"/>
              </w:rPr>
              <w:t xml:space="preserve">per </w:t>
            </w:r>
            <w:r w:rsidRPr="00941893">
              <w:rPr>
                <w:rFonts w:ascii="Century Gothic" w:hAnsi="Century Gothic" w:cs="Times New Roman"/>
                <w:color w:val="2F3131"/>
                <w:w w:val="110"/>
                <w:sz w:val="18"/>
                <w:szCs w:val="18"/>
              </w:rPr>
              <w:t xml:space="preserve">direction </w:t>
            </w:r>
            <w:r w:rsidRPr="00941893">
              <w:rPr>
                <w:rFonts w:ascii="Century Gothic" w:hAnsi="Century Gothic" w:cs="Times New Roman"/>
                <w:color w:val="1D1F21"/>
                <w:w w:val="110"/>
                <w:sz w:val="18"/>
                <w:szCs w:val="18"/>
              </w:rPr>
              <w:t xml:space="preserve">and </w:t>
            </w:r>
            <w:r w:rsidRPr="00941893">
              <w:rPr>
                <w:rFonts w:ascii="Century Gothic" w:hAnsi="Century Gothic" w:cs="Times New Roman"/>
                <w:color w:val="2F3131"/>
                <w:w w:val="110"/>
                <w:sz w:val="18"/>
                <w:szCs w:val="18"/>
              </w:rPr>
              <w:t>an additional climbing lane in the southbound direction (to Adjuntas). An exterior shoulder of 3.0 meters will be provided in the northbound section, while a 1.80 meters shoulder is being provided in the southbound lane.</w:t>
            </w:r>
          </w:p>
          <w:p w14:paraId="3134E4C1" w14:textId="3BCA006B" w:rsidR="00AB327B" w:rsidRPr="00941893" w:rsidRDefault="00AB327B" w:rsidP="00AB327B">
            <w:pPr>
              <w:pStyle w:val="ListParagraph"/>
              <w:numPr>
                <w:ilvl w:val="0"/>
                <w:numId w:val="6"/>
              </w:numPr>
              <w:spacing w:line="256" w:lineRule="auto"/>
              <w:jc w:val="both"/>
              <w:rPr>
                <w:rFonts w:ascii="Century Gothic" w:hAnsi="Century Gothic"/>
                <w:bCs/>
                <w:sz w:val="18"/>
                <w:szCs w:val="18"/>
              </w:rPr>
            </w:pPr>
            <w:r w:rsidRPr="00941893">
              <w:rPr>
                <w:rFonts w:ascii="Century Gothic" w:hAnsi="Century Gothic"/>
                <w:bCs/>
                <w:sz w:val="18"/>
                <w:szCs w:val="18"/>
              </w:rPr>
              <w:t>Section IV (AC-100055) – This section of PR-10 continues its extension toward the Cap</w:t>
            </w:r>
            <w:r w:rsidR="002D63C7" w:rsidRPr="00941893">
              <w:rPr>
                <w:rFonts w:ascii="Century Gothic" w:hAnsi="Century Gothic"/>
                <w:sz w:val="18"/>
                <w:szCs w:val="18"/>
              </w:rPr>
              <w:t>á</w:t>
            </w:r>
            <w:r w:rsidRPr="00941893">
              <w:rPr>
                <w:rFonts w:ascii="Century Gothic" w:hAnsi="Century Gothic"/>
                <w:bCs/>
                <w:sz w:val="18"/>
                <w:szCs w:val="18"/>
              </w:rPr>
              <w:t xml:space="preserve">ez Ward of the Municipality of Adjuntas. It runs for approximately 2.29 kilometers alongside the Rio Grande de Arecibo. As with previous sections, the typical section of the highway consists of an undivided highway with one (1) traffic lane of 3.65 meters per direction, with an additional climbing lane in the southbound (toward </w:t>
            </w:r>
            <w:proofErr w:type="spellStart"/>
            <w:r w:rsidRPr="00941893">
              <w:rPr>
                <w:rFonts w:ascii="Century Gothic" w:hAnsi="Century Gothic"/>
                <w:bCs/>
                <w:sz w:val="18"/>
                <w:szCs w:val="18"/>
              </w:rPr>
              <w:t>Adjuntas</w:t>
            </w:r>
            <w:proofErr w:type="spellEnd"/>
            <w:r w:rsidRPr="00941893">
              <w:rPr>
                <w:rFonts w:ascii="Century Gothic" w:hAnsi="Century Gothic"/>
                <w:bCs/>
                <w:sz w:val="18"/>
                <w:szCs w:val="18"/>
              </w:rPr>
              <w:t xml:space="preserve"> lane</w:t>
            </w:r>
            <w:r w:rsidR="003B6117" w:rsidRPr="00941893">
              <w:rPr>
                <w:rFonts w:ascii="Century Gothic" w:hAnsi="Century Gothic"/>
                <w:bCs/>
                <w:sz w:val="18"/>
                <w:szCs w:val="18"/>
              </w:rPr>
              <w:t>).</w:t>
            </w:r>
            <w:r w:rsidRPr="00941893">
              <w:rPr>
                <w:rFonts w:ascii="Century Gothic" w:hAnsi="Century Gothic"/>
                <w:bCs/>
                <w:sz w:val="18"/>
                <w:szCs w:val="18"/>
              </w:rPr>
              <w:t xml:space="preserve"> An exterior paved shoulder of 3.0 meters is provided in the northbound lane, and a 1.80 meters shoulder is also provided in the southbound lane.</w:t>
            </w:r>
          </w:p>
          <w:p w14:paraId="553888B8" w14:textId="77777777" w:rsidR="00AB327B" w:rsidRPr="00941893" w:rsidRDefault="00AB327B" w:rsidP="00AB327B">
            <w:pPr>
              <w:pStyle w:val="ListParagraph"/>
              <w:rPr>
                <w:rFonts w:ascii="Century Gothic" w:hAnsi="Century Gothic"/>
                <w:bCs/>
                <w:sz w:val="18"/>
                <w:szCs w:val="18"/>
              </w:rPr>
            </w:pPr>
          </w:p>
          <w:p w14:paraId="74E1D50E" w14:textId="56D4AD5B" w:rsidR="00AB327B" w:rsidRPr="00941893" w:rsidRDefault="00AB327B" w:rsidP="00AB327B">
            <w:pPr>
              <w:pStyle w:val="ListParagraph"/>
              <w:numPr>
                <w:ilvl w:val="0"/>
                <w:numId w:val="6"/>
              </w:numPr>
              <w:spacing w:line="256" w:lineRule="auto"/>
              <w:jc w:val="both"/>
              <w:rPr>
                <w:rFonts w:ascii="Century Gothic" w:hAnsi="Century Gothic"/>
                <w:bCs/>
                <w:sz w:val="18"/>
                <w:szCs w:val="18"/>
              </w:rPr>
            </w:pPr>
            <w:r w:rsidRPr="00941893">
              <w:rPr>
                <w:rFonts w:ascii="Century Gothic" w:hAnsi="Century Gothic"/>
                <w:bCs/>
                <w:sz w:val="18"/>
                <w:szCs w:val="18"/>
              </w:rPr>
              <w:t>Section V (AC-100076) – This section of highway will serve to complete the construction of PR-10 and will make a reality the terrestrial connection between the north and south regions of the Island as originally envisioned when the FEIS for the project was approved. It will have an approximate length of 1.83 kilometers and will interconnect Section IV with the already constructed PR-10 in the Cap</w:t>
            </w:r>
            <w:r w:rsidR="002D63C7" w:rsidRPr="00941893">
              <w:rPr>
                <w:rFonts w:ascii="Century Gothic" w:hAnsi="Century Gothic"/>
                <w:sz w:val="18"/>
                <w:szCs w:val="18"/>
              </w:rPr>
              <w:t>á</w:t>
            </w:r>
            <w:r w:rsidRPr="00941893">
              <w:rPr>
                <w:rFonts w:ascii="Century Gothic" w:hAnsi="Century Gothic"/>
                <w:bCs/>
                <w:sz w:val="18"/>
                <w:szCs w:val="18"/>
              </w:rPr>
              <w:t>ez Ward of the municipality of Adjuntas.</w:t>
            </w:r>
          </w:p>
          <w:p w14:paraId="161ACECF" w14:textId="77777777" w:rsidR="00AB327B" w:rsidRPr="00941893" w:rsidRDefault="00AB327B" w:rsidP="00AB327B">
            <w:pPr>
              <w:jc w:val="both"/>
              <w:rPr>
                <w:rFonts w:ascii="Century Gothic" w:hAnsi="Century Gothic"/>
                <w:sz w:val="18"/>
                <w:szCs w:val="18"/>
              </w:rPr>
            </w:pPr>
          </w:p>
          <w:bookmarkEnd w:id="0"/>
          <w:p w14:paraId="1D7C8BE8" w14:textId="1C7641A1" w:rsidR="00AB327B" w:rsidRPr="00941893" w:rsidRDefault="00AB327B" w:rsidP="00AB327B">
            <w:pPr>
              <w:spacing w:after="240"/>
              <w:jc w:val="both"/>
              <w:rPr>
                <w:rFonts w:ascii="Century Gothic" w:hAnsi="Century Gothic" w:cs="Segoe UI"/>
                <w:b/>
                <w:bCs/>
                <w:sz w:val="18"/>
                <w:szCs w:val="18"/>
              </w:rPr>
            </w:pPr>
            <w:r w:rsidRPr="00941893">
              <w:rPr>
                <w:rFonts w:ascii="Century Gothic" w:hAnsi="Century Gothic" w:cs="Times New Roman"/>
                <w:sz w:val="18"/>
                <w:szCs w:val="18"/>
              </w:rPr>
              <w:t>P</w:t>
            </w:r>
            <w:r w:rsidRPr="00941893">
              <w:rPr>
                <w:rStyle w:val="normaltextrun"/>
                <w:rFonts w:ascii="Century Gothic" w:hAnsi="Century Gothic" w:cs="Segoe UI"/>
                <w:sz w:val="18"/>
                <w:szCs w:val="18"/>
              </w:rPr>
              <w:t xml:space="preserve">RDOH, PRHTA, and FHWA will consider all applicable comments received on or before </w:t>
            </w:r>
            <w:r w:rsidR="00920D7D" w:rsidRPr="00920D7D">
              <w:rPr>
                <w:rStyle w:val="normaltextrun"/>
                <w:rFonts w:ascii="Century Gothic" w:hAnsi="Century Gothic" w:cs="Segoe UI"/>
                <w:sz w:val="18"/>
                <w:szCs w:val="18"/>
              </w:rPr>
              <w:t>July 3</w:t>
            </w:r>
            <w:r w:rsidRPr="00920D7D">
              <w:rPr>
                <w:rStyle w:val="normaltextrun"/>
                <w:rFonts w:ascii="Century Gothic" w:hAnsi="Century Gothic" w:cs="Segoe UI"/>
                <w:sz w:val="18"/>
                <w:szCs w:val="18"/>
              </w:rPr>
              <w:t>,</w:t>
            </w:r>
            <w:r w:rsidR="00920D7D" w:rsidRPr="00920D7D">
              <w:rPr>
                <w:rStyle w:val="normaltextrun"/>
                <w:rFonts w:ascii="Century Gothic" w:hAnsi="Century Gothic" w:cs="Segoe UI"/>
                <w:sz w:val="18"/>
                <w:szCs w:val="18"/>
              </w:rPr>
              <w:t xml:space="preserve"> 2023</w:t>
            </w:r>
            <w:r w:rsidRPr="00941893">
              <w:rPr>
                <w:rStyle w:val="normaltextrun"/>
                <w:rFonts w:ascii="Century Gothic" w:hAnsi="Century Gothic" w:cs="Segoe UI"/>
                <w:sz w:val="18"/>
                <w:szCs w:val="18"/>
              </w:rPr>
              <w:t>. A complete description of the project is available to the public for review from 8:00 am to 4:00 pm at the P.R. Highway &amp; Transportation Authority, Environmental Studies Office on the 15</w:t>
            </w:r>
            <w:r w:rsidRPr="00941893">
              <w:rPr>
                <w:rStyle w:val="normaltextrun"/>
                <w:rFonts w:ascii="Century Gothic" w:hAnsi="Century Gothic" w:cs="Segoe UI"/>
                <w:sz w:val="18"/>
                <w:szCs w:val="18"/>
                <w:vertAlign w:val="superscript"/>
              </w:rPr>
              <w:t>th</w:t>
            </w:r>
            <w:r w:rsidRPr="00941893">
              <w:rPr>
                <w:rStyle w:val="normaltextrun"/>
                <w:rFonts w:ascii="Century Gothic" w:hAnsi="Century Gothic" w:cs="Segoe UI"/>
                <w:sz w:val="18"/>
                <w:szCs w:val="18"/>
              </w:rPr>
              <w:t xml:space="preserve"> Floor, South Tower at the Sanchez </w:t>
            </w:r>
            <w:proofErr w:type="spellStart"/>
            <w:r w:rsidRPr="00941893">
              <w:rPr>
                <w:rStyle w:val="normaltextrun"/>
                <w:rFonts w:ascii="Century Gothic" w:hAnsi="Century Gothic" w:cs="Segoe UI"/>
                <w:sz w:val="18"/>
                <w:szCs w:val="18"/>
              </w:rPr>
              <w:t>Vilella</w:t>
            </w:r>
            <w:proofErr w:type="spellEnd"/>
            <w:r w:rsidRPr="00941893">
              <w:rPr>
                <w:rStyle w:val="normaltextrun"/>
                <w:rFonts w:ascii="Century Gothic" w:hAnsi="Century Gothic" w:cs="Segoe UI"/>
                <w:sz w:val="18"/>
                <w:szCs w:val="18"/>
              </w:rPr>
              <w:t xml:space="preserve"> Government Center (</w:t>
            </w:r>
            <w:proofErr w:type="spellStart"/>
            <w:r w:rsidRPr="00941893">
              <w:rPr>
                <w:rStyle w:val="normaltextrun"/>
                <w:rFonts w:ascii="Century Gothic" w:hAnsi="Century Gothic" w:cs="Segoe UI"/>
                <w:sz w:val="18"/>
                <w:szCs w:val="18"/>
              </w:rPr>
              <w:t>Minillas</w:t>
            </w:r>
            <w:proofErr w:type="spellEnd"/>
            <w:r w:rsidRPr="00941893">
              <w:rPr>
                <w:rStyle w:val="normaltextrun"/>
                <w:rFonts w:ascii="Century Gothic" w:hAnsi="Century Gothic" w:cs="Segoe UI"/>
                <w:sz w:val="18"/>
                <w:szCs w:val="18"/>
              </w:rPr>
              <w:t xml:space="preserve">) in Jose De Diego Ave., San Juan, </w:t>
            </w:r>
            <w:r w:rsidR="000C3C02" w:rsidRPr="00941893">
              <w:rPr>
                <w:rStyle w:val="normaltextrun"/>
                <w:rFonts w:ascii="Century Gothic" w:hAnsi="Century Gothic" w:cs="Segoe UI"/>
                <w:sz w:val="18"/>
                <w:szCs w:val="18"/>
              </w:rPr>
              <w:t xml:space="preserve">phone number </w:t>
            </w:r>
            <w:r w:rsidRPr="00941893">
              <w:rPr>
                <w:rStyle w:val="normaltextrun"/>
                <w:rFonts w:ascii="Century Gothic" w:hAnsi="Century Gothic" w:cs="Segoe UI"/>
                <w:color w:val="000000"/>
                <w:sz w:val="18"/>
                <w:szCs w:val="18"/>
              </w:rPr>
              <w:t>(787) 721-8787</w:t>
            </w:r>
            <w:r w:rsidR="000C3C02" w:rsidRPr="00941893">
              <w:rPr>
                <w:rStyle w:val="normaltextrun"/>
                <w:rFonts w:ascii="Century Gothic" w:hAnsi="Century Gothic" w:cs="Segoe UI"/>
                <w:color w:val="000000"/>
                <w:sz w:val="18"/>
                <w:szCs w:val="18"/>
              </w:rPr>
              <w:t>;</w:t>
            </w:r>
            <w:r w:rsidRPr="00941893">
              <w:rPr>
                <w:rStyle w:val="normaltextrun"/>
                <w:rFonts w:ascii="Century Gothic" w:hAnsi="Century Gothic" w:cs="Segoe UI"/>
                <w:color w:val="000000"/>
                <w:sz w:val="18"/>
                <w:szCs w:val="18"/>
              </w:rPr>
              <w:t xml:space="preserve"> and on the PRDOH website a</w:t>
            </w:r>
            <w:r w:rsidR="002D63C7" w:rsidRPr="00941893">
              <w:rPr>
                <w:rStyle w:val="normaltextrun"/>
                <w:rFonts w:ascii="Century Gothic" w:hAnsi="Century Gothic" w:cs="Segoe UI"/>
                <w:color w:val="000000"/>
                <w:sz w:val="18"/>
                <w:szCs w:val="18"/>
              </w:rPr>
              <w:t>t</w:t>
            </w:r>
            <w:r w:rsidR="002D63C7" w:rsidRPr="00941893">
              <w:rPr>
                <w:rFonts w:ascii="Century Gothic" w:hAnsi="Century Gothic"/>
                <w:sz w:val="18"/>
                <w:szCs w:val="18"/>
              </w:rPr>
              <w:t xml:space="preserve"> </w:t>
            </w:r>
            <w:hyperlink r:id="rId10" w:history="1">
              <w:r w:rsidR="00920D7D" w:rsidRPr="00234E16">
                <w:rPr>
                  <w:rStyle w:val="Hyperlink"/>
                  <w:rFonts w:ascii="Century Gothic" w:hAnsi="Century Gothic"/>
                  <w:sz w:val="18"/>
                  <w:szCs w:val="18"/>
                </w:rPr>
                <w:t>https://cdbg-dr.pr.gov/en/resources/environmenta</w:t>
              </w:r>
              <w:r w:rsidR="00920D7D" w:rsidRPr="00234E16">
                <w:rPr>
                  <w:rStyle w:val="Hyperlink"/>
                  <w:rFonts w:ascii="Century Gothic" w:hAnsi="Century Gothic"/>
                  <w:sz w:val="18"/>
                  <w:szCs w:val="18"/>
                </w:rPr>
                <w:t>l</w:t>
              </w:r>
              <w:r w:rsidR="00920D7D" w:rsidRPr="00234E16">
                <w:rPr>
                  <w:rStyle w:val="Hyperlink"/>
                  <w:rFonts w:ascii="Century Gothic" w:hAnsi="Century Gothic"/>
                  <w:sz w:val="18"/>
                  <w:szCs w:val="18"/>
                </w:rPr>
                <w:t>-review/</w:t>
              </w:r>
            </w:hyperlink>
            <w:r w:rsidR="00920D7D">
              <w:rPr>
                <w:rFonts w:ascii="Century Gothic" w:hAnsi="Century Gothic"/>
                <w:sz w:val="18"/>
                <w:szCs w:val="18"/>
              </w:rPr>
              <w:t xml:space="preserve"> </w:t>
            </w:r>
            <w:r w:rsidRPr="00941893">
              <w:rPr>
                <w:rStyle w:val="normaltextrun"/>
                <w:rFonts w:ascii="Century Gothic" w:hAnsi="Century Gothic" w:cs="Segoe UI"/>
                <w:color w:val="000000"/>
                <w:sz w:val="18"/>
                <w:szCs w:val="18"/>
              </w:rPr>
              <w:t xml:space="preserve">. </w:t>
            </w:r>
            <w:r w:rsidRPr="00941893">
              <w:rPr>
                <w:rStyle w:val="normaltextrun"/>
                <w:rFonts w:ascii="Century Gothic" w:hAnsi="Century Gothic" w:cs="Segoe UI"/>
                <w:sz w:val="18"/>
                <w:szCs w:val="18"/>
              </w:rPr>
              <w:t xml:space="preserve">Written comments can be sent to the following address: Puerto Rico Department of Housing, 606 Barbosa Ave., </w:t>
            </w:r>
            <w:r w:rsidR="00343E3C" w:rsidRPr="00941893">
              <w:rPr>
                <w:rStyle w:val="normaltextrun"/>
                <w:rFonts w:ascii="Century Gothic" w:hAnsi="Century Gothic" w:cs="Segoe UI"/>
                <w:sz w:val="18"/>
                <w:szCs w:val="18"/>
              </w:rPr>
              <w:t xml:space="preserve">Río Piedras, </w:t>
            </w:r>
            <w:r w:rsidRPr="00941893">
              <w:rPr>
                <w:rStyle w:val="normaltextrun"/>
                <w:rFonts w:ascii="Century Gothic" w:hAnsi="Century Gothic" w:cs="Segoe UI"/>
                <w:sz w:val="18"/>
                <w:szCs w:val="18"/>
              </w:rPr>
              <w:t xml:space="preserve">San Juan, PR 00918-8461, Attention: </w:t>
            </w:r>
            <w:r w:rsidRPr="00941893">
              <w:rPr>
                <w:rStyle w:val="normaltextrun"/>
                <w:rFonts w:ascii="Century Gothic" w:hAnsi="Century Gothic" w:cs="Segoe UI"/>
                <w:bCs/>
                <w:sz w:val="18"/>
                <w:szCs w:val="18"/>
              </w:rPr>
              <w:t xml:space="preserve">Juan C. </w:t>
            </w:r>
            <w:r w:rsidR="003B6117" w:rsidRPr="00941893">
              <w:rPr>
                <w:rStyle w:val="normaltextrun"/>
                <w:rFonts w:ascii="Century Gothic" w:hAnsi="Century Gothic" w:cs="Segoe UI"/>
                <w:bCs/>
                <w:sz w:val="18"/>
                <w:szCs w:val="18"/>
              </w:rPr>
              <w:t>Pérez</w:t>
            </w:r>
            <w:r w:rsidRPr="00941893">
              <w:rPr>
                <w:rStyle w:val="normaltextrun"/>
                <w:rFonts w:ascii="Century Gothic" w:hAnsi="Century Gothic" w:cs="Segoe UI"/>
                <w:bCs/>
                <w:sz w:val="18"/>
                <w:szCs w:val="18"/>
              </w:rPr>
              <w:t>, Director for Disaster Recovery</w:t>
            </w:r>
            <w:r w:rsidRPr="00941893">
              <w:rPr>
                <w:rStyle w:val="normaltextrun"/>
                <w:rFonts w:ascii="Century Gothic" w:hAnsi="Century Gothic" w:cs="Segoe UI"/>
                <w:color w:val="000000"/>
                <w:sz w:val="18"/>
                <w:szCs w:val="18"/>
              </w:rPr>
              <w:t xml:space="preserve">. In the alternative, comments may also be sent to PRDOH by email at </w:t>
            </w:r>
            <w:hyperlink r:id="rId11" w:history="1">
              <w:r w:rsidRPr="00941893">
                <w:rPr>
                  <w:rStyle w:val="Hyperlink"/>
                  <w:rFonts w:ascii="Century Gothic" w:hAnsi="Century Gothic" w:cs="Segoe UI"/>
                  <w:sz w:val="18"/>
                  <w:szCs w:val="18"/>
                </w:rPr>
                <w:t>environmentcdbg@vivienda.pr.gov</w:t>
              </w:r>
            </w:hyperlink>
            <w:r w:rsidRPr="00941893">
              <w:rPr>
                <w:rStyle w:val="normaltextrun"/>
                <w:rFonts w:ascii="Century Gothic" w:hAnsi="Century Gothic" w:cs="Segoe UI"/>
                <w:color w:val="000000"/>
                <w:sz w:val="18"/>
                <w:szCs w:val="18"/>
              </w:rPr>
              <w:t>.</w:t>
            </w:r>
            <w:r w:rsidRPr="00941893">
              <w:rPr>
                <w:rStyle w:val="eop"/>
                <w:rFonts w:ascii="Century Gothic" w:hAnsi="Century Gothic" w:cs="Segoe UI"/>
                <w:color w:val="000000"/>
                <w:sz w:val="18"/>
                <w:szCs w:val="18"/>
              </w:rPr>
              <w:t> </w:t>
            </w:r>
          </w:p>
          <w:p w14:paraId="52373C0E" w14:textId="77777777" w:rsidR="00A87CCD" w:rsidRPr="00941893" w:rsidRDefault="00A87CCD" w:rsidP="00111E82">
            <w:pPr>
              <w:jc w:val="both"/>
              <w:textAlignment w:val="baseline"/>
              <w:rPr>
                <w:rFonts w:ascii="Century Gothic" w:eastAsia="Times New Roman" w:hAnsi="Century Gothic" w:cs="Segoe UI"/>
                <w:sz w:val="18"/>
                <w:szCs w:val="18"/>
              </w:rPr>
            </w:pPr>
            <w:r w:rsidRPr="00941893">
              <w:rPr>
                <w:rFonts w:ascii="Century Gothic" w:eastAsia="Times New Roman" w:hAnsi="Century Gothic" w:cs="Times New Roman"/>
                <w:sz w:val="18"/>
                <w:szCs w:val="18"/>
              </w:rPr>
              <w:t> </w:t>
            </w:r>
          </w:p>
          <w:p w14:paraId="2C07BF87" w14:textId="539A5645" w:rsidR="00A87CCD" w:rsidRPr="00941893" w:rsidRDefault="00A87CCD" w:rsidP="00111E82">
            <w:pPr>
              <w:jc w:val="both"/>
              <w:textAlignment w:val="baseline"/>
              <w:rPr>
                <w:rFonts w:ascii="Century Gothic" w:eastAsia="Times New Roman" w:hAnsi="Century Gothic" w:cs="Segoe UI"/>
                <w:b/>
                <w:bCs/>
                <w:sz w:val="18"/>
                <w:szCs w:val="18"/>
              </w:rPr>
            </w:pPr>
            <w:r w:rsidRPr="00941893">
              <w:rPr>
                <w:rFonts w:ascii="Century Gothic" w:eastAsia="Times New Roman" w:hAnsi="Century Gothic" w:cs="Segoe UI"/>
                <w:b/>
                <w:bCs/>
                <w:sz w:val="18"/>
                <w:szCs w:val="18"/>
              </w:rPr>
              <w:t>Date</w:t>
            </w:r>
            <w:r w:rsidRPr="00941893">
              <w:rPr>
                <w:rFonts w:ascii="Century Gothic" w:eastAsia="Times New Roman" w:hAnsi="Century Gothic" w:cs="Times New Roman"/>
                <w:b/>
                <w:sz w:val="18"/>
                <w:szCs w:val="18"/>
              </w:rPr>
              <w:t xml:space="preserve">: </w:t>
            </w:r>
            <w:r w:rsidR="00920D7D">
              <w:rPr>
                <w:rFonts w:ascii="Century Gothic" w:eastAsia="Times New Roman" w:hAnsi="Century Gothic" w:cs="Times New Roman"/>
                <w:b/>
                <w:sz w:val="18"/>
                <w:szCs w:val="18"/>
              </w:rPr>
              <w:t>June 2, 2023</w:t>
            </w:r>
          </w:p>
          <w:p w14:paraId="466B0A4C" w14:textId="77777777" w:rsidR="007434B5" w:rsidRPr="00941893" w:rsidRDefault="007434B5" w:rsidP="00111E82">
            <w:pPr>
              <w:jc w:val="both"/>
              <w:rPr>
                <w:rFonts w:ascii="Century Gothic" w:hAnsi="Century Gothic"/>
                <w:sz w:val="18"/>
                <w:szCs w:val="18"/>
              </w:rPr>
            </w:pPr>
          </w:p>
          <w:p w14:paraId="7D9BAF46" w14:textId="6D7EF990" w:rsidR="000973D0" w:rsidRPr="00941893" w:rsidRDefault="000973D0" w:rsidP="00111E82">
            <w:pPr>
              <w:jc w:val="both"/>
              <w:rPr>
                <w:rFonts w:ascii="Century Gothic" w:hAnsi="Century Gothic"/>
                <w:sz w:val="18"/>
                <w:szCs w:val="18"/>
              </w:rPr>
            </w:pPr>
          </w:p>
          <w:p w14:paraId="58A01893" w14:textId="23198140" w:rsidR="000973D0" w:rsidRPr="00941893" w:rsidRDefault="000973D0" w:rsidP="00111E82">
            <w:pPr>
              <w:jc w:val="both"/>
              <w:rPr>
                <w:rFonts w:ascii="Century Gothic" w:hAnsi="Century Gothic"/>
                <w:sz w:val="18"/>
                <w:szCs w:val="18"/>
              </w:rPr>
            </w:pPr>
          </w:p>
          <w:p w14:paraId="10DB9AE5" w14:textId="19B35D1A" w:rsidR="000973D0" w:rsidRPr="00941893" w:rsidRDefault="000973D0" w:rsidP="00111E82">
            <w:pPr>
              <w:jc w:val="both"/>
              <w:rPr>
                <w:rFonts w:ascii="Century Gothic" w:hAnsi="Century Gothic"/>
                <w:sz w:val="18"/>
                <w:szCs w:val="18"/>
              </w:rPr>
            </w:pPr>
          </w:p>
          <w:p w14:paraId="38D88E46" w14:textId="08B54D59" w:rsidR="000973D0" w:rsidRPr="00941893" w:rsidRDefault="00855788" w:rsidP="00111E82">
            <w:pPr>
              <w:jc w:val="both"/>
              <w:rPr>
                <w:rFonts w:ascii="Century Gothic" w:hAnsi="Century Gothic"/>
                <w:sz w:val="18"/>
                <w:szCs w:val="18"/>
              </w:rPr>
            </w:pPr>
            <w:r w:rsidRPr="00941893">
              <w:rPr>
                <w:rFonts w:ascii="Century Gothic" w:hAnsi="Century Gothic"/>
                <w:sz w:val="18"/>
                <w:szCs w:val="18"/>
              </w:rPr>
              <w:t xml:space="preserve">William O. Rodríguez </w:t>
            </w:r>
            <w:proofErr w:type="spellStart"/>
            <w:r w:rsidRPr="00941893">
              <w:rPr>
                <w:rFonts w:ascii="Century Gothic" w:hAnsi="Century Gothic"/>
                <w:sz w:val="18"/>
                <w:szCs w:val="18"/>
              </w:rPr>
              <w:t>Rodríguez</w:t>
            </w:r>
            <w:proofErr w:type="spellEnd"/>
            <w:r w:rsidRPr="00941893">
              <w:rPr>
                <w:rFonts w:ascii="Century Gothic" w:hAnsi="Century Gothic"/>
                <w:sz w:val="18"/>
                <w:szCs w:val="18"/>
              </w:rPr>
              <w:t>, Esq.</w:t>
            </w:r>
          </w:p>
          <w:p w14:paraId="2E64FB3E" w14:textId="793D28F3" w:rsidR="00855788" w:rsidRPr="00941893" w:rsidRDefault="00855788" w:rsidP="00111E82">
            <w:pPr>
              <w:jc w:val="both"/>
              <w:rPr>
                <w:rFonts w:ascii="Century Gothic" w:hAnsi="Century Gothic"/>
                <w:sz w:val="18"/>
                <w:szCs w:val="18"/>
              </w:rPr>
            </w:pPr>
            <w:r w:rsidRPr="00941893">
              <w:rPr>
                <w:rFonts w:ascii="Century Gothic" w:hAnsi="Century Gothic"/>
                <w:sz w:val="18"/>
                <w:szCs w:val="18"/>
              </w:rPr>
              <w:t>Secretary of the Department of Housing</w:t>
            </w:r>
          </w:p>
          <w:p w14:paraId="66D6DE6E" w14:textId="0E63E110" w:rsidR="002F0C55" w:rsidRPr="00941893" w:rsidRDefault="003A3671" w:rsidP="00111E82">
            <w:pPr>
              <w:tabs>
                <w:tab w:val="left" w:pos="5290"/>
              </w:tabs>
              <w:jc w:val="both"/>
              <w:rPr>
                <w:rFonts w:ascii="Century Gothic" w:hAnsi="Century Gothic"/>
                <w:sz w:val="18"/>
                <w:szCs w:val="18"/>
              </w:rPr>
            </w:pPr>
            <w:r w:rsidRPr="00941893">
              <w:rPr>
                <w:rFonts w:ascii="Century Gothic" w:hAnsi="Century Gothic"/>
                <w:sz w:val="18"/>
                <w:szCs w:val="18"/>
              </w:rPr>
              <w:tab/>
            </w:r>
          </w:p>
        </w:tc>
      </w:tr>
    </w:tbl>
    <w:p w14:paraId="56C5E2B2" w14:textId="77777777" w:rsidR="00B374B5" w:rsidRPr="00941893" w:rsidRDefault="00B374B5" w:rsidP="000973D0">
      <w:pPr>
        <w:jc w:val="both"/>
        <w:rPr>
          <w:rFonts w:ascii="Century Gothic" w:hAnsi="Century Gothic"/>
          <w:sz w:val="18"/>
          <w:szCs w:val="18"/>
        </w:rPr>
      </w:pPr>
    </w:p>
    <w:sectPr w:rsidR="00B374B5" w:rsidRPr="00941893" w:rsidSect="002F0C55">
      <w:pgSz w:w="15840" w:h="12240" w:orient="landscape"/>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21152" w16cex:dateUtc="2023-05-19T19:1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Fangsong Std R">
    <w:altName w:val="MS Gothic"/>
    <w:panose1 w:val="00000000000000000000"/>
    <w:charset w:val="80"/>
    <w:family w:val="roman"/>
    <w:notTrueType/>
    <w:pitch w:val="variable"/>
    <w:sig w:usb0="00000000"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8147D"/>
    <w:multiLevelType w:val="hybridMultilevel"/>
    <w:tmpl w:val="20D28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606607"/>
    <w:multiLevelType w:val="hybridMultilevel"/>
    <w:tmpl w:val="C31C7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625A6"/>
    <w:multiLevelType w:val="hybridMultilevel"/>
    <w:tmpl w:val="FF8C5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C63F74"/>
    <w:multiLevelType w:val="hybridMultilevel"/>
    <w:tmpl w:val="BE625E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A3560EA"/>
    <w:multiLevelType w:val="hybridMultilevel"/>
    <w:tmpl w:val="5B18F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7A0174C"/>
    <w:multiLevelType w:val="hybridMultilevel"/>
    <w:tmpl w:val="D9728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55"/>
    <w:rsid w:val="00006B80"/>
    <w:rsid w:val="000269A5"/>
    <w:rsid w:val="000973D0"/>
    <w:rsid w:val="000C3C02"/>
    <w:rsid w:val="000F78FD"/>
    <w:rsid w:val="001018C3"/>
    <w:rsid w:val="00111E82"/>
    <w:rsid w:val="001165DD"/>
    <w:rsid w:val="00145151"/>
    <w:rsid w:val="0015721C"/>
    <w:rsid w:val="0017543D"/>
    <w:rsid w:val="001C5D72"/>
    <w:rsid w:val="001C714F"/>
    <w:rsid w:val="001D46EA"/>
    <w:rsid w:val="002C548C"/>
    <w:rsid w:val="002D63C7"/>
    <w:rsid w:val="002F0C55"/>
    <w:rsid w:val="00316E7B"/>
    <w:rsid w:val="00343E3C"/>
    <w:rsid w:val="0039788F"/>
    <w:rsid w:val="003A3671"/>
    <w:rsid w:val="003B6117"/>
    <w:rsid w:val="003D3C5C"/>
    <w:rsid w:val="0040433E"/>
    <w:rsid w:val="0041413A"/>
    <w:rsid w:val="004229BC"/>
    <w:rsid w:val="00447379"/>
    <w:rsid w:val="004A72E6"/>
    <w:rsid w:val="004B49AB"/>
    <w:rsid w:val="004B6F0C"/>
    <w:rsid w:val="004F5FC8"/>
    <w:rsid w:val="00504C81"/>
    <w:rsid w:val="00513CE9"/>
    <w:rsid w:val="0054504E"/>
    <w:rsid w:val="00547CC7"/>
    <w:rsid w:val="00556246"/>
    <w:rsid w:val="006232B1"/>
    <w:rsid w:val="00637A99"/>
    <w:rsid w:val="006706B2"/>
    <w:rsid w:val="006903F0"/>
    <w:rsid w:val="006B6D17"/>
    <w:rsid w:val="006F0CC4"/>
    <w:rsid w:val="00721D39"/>
    <w:rsid w:val="007434B5"/>
    <w:rsid w:val="0077317F"/>
    <w:rsid w:val="0077421B"/>
    <w:rsid w:val="00797BDA"/>
    <w:rsid w:val="007C45B6"/>
    <w:rsid w:val="008306FE"/>
    <w:rsid w:val="00837D90"/>
    <w:rsid w:val="0085341C"/>
    <w:rsid w:val="00855788"/>
    <w:rsid w:val="00856AE7"/>
    <w:rsid w:val="00881569"/>
    <w:rsid w:val="008A2040"/>
    <w:rsid w:val="008D313A"/>
    <w:rsid w:val="008D3AAB"/>
    <w:rsid w:val="008D3B23"/>
    <w:rsid w:val="00920D7D"/>
    <w:rsid w:val="009334A0"/>
    <w:rsid w:val="00941893"/>
    <w:rsid w:val="009443B7"/>
    <w:rsid w:val="009562B8"/>
    <w:rsid w:val="00976E01"/>
    <w:rsid w:val="00A22134"/>
    <w:rsid w:val="00A35B0B"/>
    <w:rsid w:val="00A40520"/>
    <w:rsid w:val="00A70480"/>
    <w:rsid w:val="00A87B53"/>
    <w:rsid w:val="00A87CCD"/>
    <w:rsid w:val="00AB327B"/>
    <w:rsid w:val="00AC60B1"/>
    <w:rsid w:val="00AD4B49"/>
    <w:rsid w:val="00AE762B"/>
    <w:rsid w:val="00B36374"/>
    <w:rsid w:val="00B374B5"/>
    <w:rsid w:val="00B70004"/>
    <w:rsid w:val="00B82EE8"/>
    <w:rsid w:val="00B86D5E"/>
    <w:rsid w:val="00B92F46"/>
    <w:rsid w:val="00BA17ED"/>
    <w:rsid w:val="00BA4393"/>
    <w:rsid w:val="00BB5BCC"/>
    <w:rsid w:val="00BD6D96"/>
    <w:rsid w:val="00BE17D7"/>
    <w:rsid w:val="00BE3597"/>
    <w:rsid w:val="00C146B5"/>
    <w:rsid w:val="00C170E0"/>
    <w:rsid w:val="00C423C1"/>
    <w:rsid w:val="00D3026B"/>
    <w:rsid w:val="00D35307"/>
    <w:rsid w:val="00D415B1"/>
    <w:rsid w:val="00D41662"/>
    <w:rsid w:val="00D44857"/>
    <w:rsid w:val="00D71131"/>
    <w:rsid w:val="00DA4D4A"/>
    <w:rsid w:val="00DA5D0C"/>
    <w:rsid w:val="00E3626F"/>
    <w:rsid w:val="00E510DA"/>
    <w:rsid w:val="00E55578"/>
    <w:rsid w:val="00E64660"/>
    <w:rsid w:val="00E812F8"/>
    <w:rsid w:val="00E83980"/>
    <w:rsid w:val="00E92AD9"/>
    <w:rsid w:val="00E93139"/>
    <w:rsid w:val="00EB3963"/>
    <w:rsid w:val="00EB4D76"/>
    <w:rsid w:val="00EB74FD"/>
    <w:rsid w:val="00ED4779"/>
    <w:rsid w:val="00EF45A4"/>
    <w:rsid w:val="00F03041"/>
    <w:rsid w:val="00F501DA"/>
    <w:rsid w:val="00F56191"/>
    <w:rsid w:val="00F8072A"/>
    <w:rsid w:val="00F87A73"/>
    <w:rsid w:val="00FA402A"/>
    <w:rsid w:val="00FF41A0"/>
    <w:rsid w:val="03938C08"/>
    <w:rsid w:val="0536B2A1"/>
    <w:rsid w:val="0F939400"/>
    <w:rsid w:val="2A731464"/>
    <w:rsid w:val="33812BD5"/>
    <w:rsid w:val="50D0CAC5"/>
    <w:rsid w:val="51112FBF"/>
    <w:rsid w:val="527EF625"/>
    <w:rsid w:val="560DDE2C"/>
    <w:rsid w:val="5A9F8120"/>
    <w:rsid w:val="5E0C3206"/>
    <w:rsid w:val="6449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19AE"/>
  <w15:chartTrackingRefBased/>
  <w15:docId w15:val="{2C04DB48-7C46-40C3-8545-791A0542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C5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C55"/>
    <w:rPr>
      <w:color w:val="0563C1" w:themeColor="hyperlink"/>
      <w:u w:val="single"/>
    </w:rPr>
  </w:style>
  <w:style w:type="character" w:customStyle="1" w:styleId="UnresolvedMention1">
    <w:name w:val="Unresolved Mention1"/>
    <w:basedOn w:val="DefaultParagraphFont"/>
    <w:uiPriority w:val="99"/>
    <w:semiHidden/>
    <w:unhideWhenUsed/>
    <w:rsid w:val="000973D0"/>
    <w:rPr>
      <w:color w:val="605E5C"/>
      <w:shd w:val="clear" w:color="auto" w:fill="E1DFDD"/>
    </w:rPr>
  </w:style>
  <w:style w:type="character" w:styleId="PlaceholderText">
    <w:name w:val="Placeholder Text"/>
    <w:basedOn w:val="DefaultParagraphFont"/>
    <w:uiPriority w:val="99"/>
    <w:semiHidden/>
    <w:rsid w:val="00F87A73"/>
    <w:rPr>
      <w:color w:val="808080"/>
    </w:rPr>
  </w:style>
  <w:style w:type="paragraph" w:customStyle="1" w:styleId="paragraph">
    <w:name w:val="paragraph"/>
    <w:basedOn w:val="Normal"/>
    <w:rsid w:val="000269A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269A5"/>
  </w:style>
  <w:style w:type="character" w:customStyle="1" w:styleId="eop">
    <w:name w:val="eop"/>
    <w:basedOn w:val="DefaultParagraphFont"/>
    <w:rsid w:val="000269A5"/>
  </w:style>
  <w:style w:type="character" w:customStyle="1" w:styleId="spellingerror">
    <w:name w:val="spellingerror"/>
    <w:basedOn w:val="DefaultParagraphFont"/>
    <w:rsid w:val="000269A5"/>
  </w:style>
  <w:style w:type="character" w:customStyle="1" w:styleId="contextualspellingandgrammarerror">
    <w:name w:val="contextualspellingandgrammarerror"/>
    <w:basedOn w:val="DefaultParagraphFont"/>
    <w:rsid w:val="000269A5"/>
  </w:style>
  <w:style w:type="paragraph" w:styleId="ListParagraph">
    <w:name w:val="List Paragraph"/>
    <w:basedOn w:val="Normal"/>
    <w:uiPriority w:val="34"/>
    <w:qFormat/>
    <w:rsid w:val="00F03041"/>
    <w:pPr>
      <w:ind w:left="720"/>
      <w:contextualSpacing/>
    </w:pPr>
  </w:style>
  <w:style w:type="character" w:styleId="CommentReference">
    <w:name w:val="annotation reference"/>
    <w:basedOn w:val="DefaultParagraphFont"/>
    <w:uiPriority w:val="99"/>
    <w:semiHidden/>
    <w:unhideWhenUsed/>
    <w:rsid w:val="009443B7"/>
    <w:rPr>
      <w:sz w:val="16"/>
      <w:szCs w:val="16"/>
    </w:rPr>
  </w:style>
  <w:style w:type="paragraph" w:styleId="CommentText">
    <w:name w:val="annotation text"/>
    <w:basedOn w:val="Normal"/>
    <w:link w:val="CommentTextChar"/>
    <w:uiPriority w:val="99"/>
    <w:unhideWhenUsed/>
    <w:rsid w:val="009443B7"/>
    <w:rPr>
      <w:sz w:val="20"/>
      <w:szCs w:val="20"/>
    </w:rPr>
  </w:style>
  <w:style w:type="character" w:customStyle="1" w:styleId="CommentTextChar">
    <w:name w:val="Comment Text Char"/>
    <w:basedOn w:val="DefaultParagraphFont"/>
    <w:link w:val="CommentText"/>
    <w:uiPriority w:val="99"/>
    <w:rsid w:val="009443B7"/>
    <w:rPr>
      <w:sz w:val="20"/>
      <w:szCs w:val="20"/>
    </w:rPr>
  </w:style>
  <w:style w:type="paragraph" w:styleId="CommentSubject">
    <w:name w:val="annotation subject"/>
    <w:basedOn w:val="CommentText"/>
    <w:next w:val="CommentText"/>
    <w:link w:val="CommentSubjectChar"/>
    <w:uiPriority w:val="99"/>
    <w:semiHidden/>
    <w:unhideWhenUsed/>
    <w:rsid w:val="009443B7"/>
    <w:rPr>
      <w:b/>
      <w:bCs/>
    </w:rPr>
  </w:style>
  <w:style w:type="character" w:customStyle="1" w:styleId="CommentSubjectChar">
    <w:name w:val="Comment Subject Char"/>
    <w:basedOn w:val="CommentTextChar"/>
    <w:link w:val="CommentSubject"/>
    <w:uiPriority w:val="99"/>
    <w:semiHidden/>
    <w:rsid w:val="009443B7"/>
    <w:rPr>
      <w:b/>
      <w:bCs/>
      <w:sz w:val="20"/>
      <w:szCs w:val="20"/>
    </w:rPr>
  </w:style>
  <w:style w:type="paragraph" w:styleId="BodyText">
    <w:name w:val="Body Text"/>
    <w:basedOn w:val="Normal"/>
    <w:link w:val="BodyTextChar"/>
    <w:uiPriority w:val="99"/>
    <w:unhideWhenUsed/>
    <w:rsid w:val="00AB327B"/>
    <w:pPr>
      <w:spacing w:after="120"/>
    </w:pPr>
  </w:style>
  <w:style w:type="character" w:customStyle="1" w:styleId="BodyTextChar">
    <w:name w:val="Body Text Char"/>
    <w:basedOn w:val="DefaultParagraphFont"/>
    <w:link w:val="BodyText"/>
    <w:uiPriority w:val="99"/>
    <w:rsid w:val="00AB327B"/>
  </w:style>
  <w:style w:type="character" w:styleId="FollowedHyperlink">
    <w:name w:val="FollowedHyperlink"/>
    <w:basedOn w:val="DefaultParagraphFont"/>
    <w:uiPriority w:val="99"/>
    <w:semiHidden/>
    <w:unhideWhenUsed/>
    <w:rsid w:val="002D63C7"/>
    <w:rPr>
      <w:color w:val="954F72" w:themeColor="followedHyperlink"/>
      <w:u w:val="single"/>
    </w:rPr>
  </w:style>
  <w:style w:type="character" w:styleId="UnresolvedMention">
    <w:name w:val="Unresolved Mention"/>
    <w:basedOn w:val="DefaultParagraphFont"/>
    <w:uiPriority w:val="99"/>
    <w:semiHidden/>
    <w:unhideWhenUsed/>
    <w:rsid w:val="00BE17D7"/>
    <w:rPr>
      <w:color w:val="605E5C"/>
      <w:shd w:val="clear" w:color="auto" w:fill="E1DFDD"/>
    </w:rPr>
  </w:style>
  <w:style w:type="paragraph" w:styleId="BalloonText">
    <w:name w:val="Balloon Text"/>
    <w:basedOn w:val="Normal"/>
    <w:link w:val="BalloonTextChar"/>
    <w:uiPriority w:val="99"/>
    <w:semiHidden/>
    <w:unhideWhenUsed/>
    <w:rsid w:val="00E93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4548">
      <w:bodyDiv w:val="1"/>
      <w:marLeft w:val="0"/>
      <w:marRight w:val="0"/>
      <w:marTop w:val="0"/>
      <w:marBottom w:val="0"/>
      <w:divBdr>
        <w:top w:val="none" w:sz="0" w:space="0" w:color="auto"/>
        <w:left w:val="none" w:sz="0" w:space="0" w:color="auto"/>
        <w:bottom w:val="none" w:sz="0" w:space="0" w:color="auto"/>
        <w:right w:val="none" w:sz="0" w:space="0" w:color="auto"/>
      </w:divBdr>
    </w:div>
    <w:div w:id="869606027">
      <w:bodyDiv w:val="1"/>
      <w:marLeft w:val="0"/>
      <w:marRight w:val="0"/>
      <w:marTop w:val="0"/>
      <w:marBottom w:val="0"/>
      <w:divBdr>
        <w:top w:val="none" w:sz="0" w:space="0" w:color="auto"/>
        <w:left w:val="none" w:sz="0" w:space="0" w:color="auto"/>
        <w:bottom w:val="none" w:sz="0" w:space="0" w:color="auto"/>
        <w:right w:val="none" w:sz="0" w:space="0" w:color="auto"/>
      </w:divBdr>
      <w:divsChild>
        <w:div w:id="729765299">
          <w:marLeft w:val="0"/>
          <w:marRight w:val="0"/>
          <w:marTop w:val="0"/>
          <w:marBottom w:val="0"/>
          <w:divBdr>
            <w:top w:val="none" w:sz="0" w:space="0" w:color="auto"/>
            <w:left w:val="none" w:sz="0" w:space="0" w:color="auto"/>
            <w:bottom w:val="none" w:sz="0" w:space="0" w:color="auto"/>
            <w:right w:val="none" w:sz="0" w:space="0" w:color="auto"/>
          </w:divBdr>
        </w:div>
        <w:div w:id="1375618014">
          <w:marLeft w:val="0"/>
          <w:marRight w:val="0"/>
          <w:marTop w:val="0"/>
          <w:marBottom w:val="0"/>
          <w:divBdr>
            <w:top w:val="none" w:sz="0" w:space="0" w:color="auto"/>
            <w:left w:val="none" w:sz="0" w:space="0" w:color="auto"/>
            <w:bottom w:val="none" w:sz="0" w:space="0" w:color="auto"/>
            <w:right w:val="none" w:sz="0" w:space="0" w:color="auto"/>
          </w:divBdr>
        </w:div>
        <w:div w:id="715785770">
          <w:marLeft w:val="0"/>
          <w:marRight w:val="0"/>
          <w:marTop w:val="0"/>
          <w:marBottom w:val="0"/>
          <w:divBdr>
            <w:top w:val="none" w:sz="0" w:space="0" w:color="auto"/>
            <w:left w:val="none" w:sz="0" w:space="0" w:color="auto"/>
            <w:bottom w:val="none" w:sz="0" w:space="0" w:color="auto"/>
            <w:right w:val="none" w:sz="0" w:space="0" w:color="auto"/>
          </w:divBdr>
        </w:div>
        <w:div w:id="114758522">
          <w:marLeft w:val="0"/>
          <w:marRight w:val="0"/>
          <w:marTop w:val="0"/>
          <w:marBottom w:val="0"/>
          <w:divBdr>
            <w:top w:val="none" w:sz="0" w:space="0" w:color="auto"/>
            <w:left w:val="none" w:sz="0" w:space="0" w:color="auto"/>
            <w:bottom w:val="none" w:sz="0" w:space="0" w:color="auto"/>
            <w:right w:val="none" w:sz="0" w:space="0" w:color="auto"/>
          </w:divBdr>
        </w:div>
        <w:div w:id="1341346545">
          <w:marLeft w:val="0"/>
          <w:marRight w:val="0"/>
          <w:marTop w:val="0"/>
          <w:marBottom w:val="0"/>
          <w:divBdr>
            <w:top w:val="none" w:sz="0" w:space="0" w:color="auto"/>
            <w:left w:val="none" w:sz="0" w:space="0" w:color="auto"/>
            <w:bottom w:val="none" w:sz="0" w:space="0" w:color="auto"/>
            <w:right w:val="none" w:sz="0" w:space="0" w:color="auto"/>
          </w:divBdr>
        </w:div>
        <w:div w:id="409929129">
          <w:marLeft w:val="0"/>
          <w:marRight w:val="0"/>
          <w:marTop w:val="0"/>
          <w:marBottom w:val="0"/>
          <w:divBdr>
            <w:top w:val="none" w:sz="0" w:space="0" w:color="auto"/>
            <w:left w:val="none" w:sz="0" w:space="0" w:color="auto"/>
            <w:bottom w:val="none" w:sz="0" w:space="0" w:color="auto"/>
            <w:right w:val="none" w:sz="0" w:space="0" w:color="auto"/>
          </w:divBdr>
        </w:div>
        <w:div w:id="1011221597">
          <w:marLeft w:val="0"/>
          <w:marRight w:val="0"/>
          <w:marTop w:val="0"/>
          <w:marBottom w:val="0"/>
          <w:divBdr>
            <w:top w:val="none" w:sz="0" w:space="0" w:color="auto"/>
            <w:left w:val="none" w:sz="0" w:space="0" w:color="auto"/>
            <w:bottom w:val="none" w:sz="0" w:space="0" w:color="auto"/>
            <w:right w:val="none" w:sz="0" w:space="0" w:color="auto"/>
          </w:divBdr>
        </w:div>
        <w:div w:id="1524052377">
          <w:marLeft w:val="0"/>
          <w:marRight w:val="0"/>
          <w:marTop w:val="0"/>
          <w:marBottom w:val="0"/>
          <w:divBdr>
            <w:top w:val="none" w:sz="0" w:space="0" w:color="auto"/>
            <w:left w:val="none" w:sz="0" w:space="0" w:color="auto"/>
            <w:bottom w:val="none" w:sz="0" w:space="0" w:color="auto"/>
            <w:right w:val="none" w:sz="0" w:space="0" w:color="auto"/>
          </w:divBdr>
        </w:div>
        <w:div w:id="1298418988">
          <w:marLeft w:val="0"/>
          <w:marRight w:val="0"/>
          <w:marTop w:val="0"/>
          <w:marBottom w:val="0"/>
          <w:divBdr>
            <w:top w:val="none" w:sz="0" w:space="0" w:color="auto"/>
            <w:left w:val="none" w:sz="0" w:space="0" w:color="auto"/>
            <w:bottom w:val="none" w:sz="0" w:space="0" w:color="auto"/>
            <w:right w:val="none" w:sz="0" w:space="0" w:color="auto"/>
          </w:divBdr>
        </w:div>
        <w:div w:id="1126699877">
          <w:marLeft w:val="0"/>
          <w:marRight w:val="0"/>
          <w:marTop w:val="0"/>
          <w:marBottom w:val="0"/>
          <w:divBdr>
            <w:top w:val="none" w:sz="0" w:space="0" w:color="auto"/>
            <w:left w:val="none" w:sz="0" w:space="0" w:color="auto"/>
            <w:bottom w:val="none" w:sz="0" w:space="0" w:color="auto"/>
            <w:right w:val="none" w:sz="0" w:space="0" w:color="auto"/>
          </w:divBdr>
        </w:div>
        <w:div w:id="298144570">
          <w:marLeft w:val="0"/>
          <w:marRight w:val="0"/>
          <w:marTop w:val="0"/>
          <w:marBottom w:val="0"/>
          <w:divBdr>
            <w:top w:val="none" w:sz="0" w:space="0" w:color="auto"/>
            <w:left w:val="none" w:sz="0" w:space="0" w:color="auto"/>
            <w:bottom w:val="none" w:sz="0" w:space="0" w:color="auto"/>
            <w:right w:val="none" w:sz="0" w:space="0" w:color="auto"/>
          </w:divBdr>
        </w:div>
        <w:div w:id="1863594249">
          <w:marLeft w:val="0"/>
          <w:marRight w:val="0"/>
          <w:marTop w:val="0"/>
          <w:marBottom w:val="0"/>
          <w:divBdr>
            <w:top w:val="none" w:sz="0" w:space="0" w:color="auto"/>
            <w:left w:val="none" w:sz="0" w:space="0" w:color="auto"/>
            <w:bottom w:val="none" w:sz="0" w:space="0" w:color="auto"/>
            <w:right w:val="none" w:sz="0" w:space="0" w:color="auto"/>
          </w:divBdr>
        </w:div>
        <w:div w:id="1157840755">
          <w:marLeft w:val="0"/>
          <w:marRight w:val="0"/>
          <w:marTop w:val="0"/>
          <w:marBottom w:val="0"/>
          <w:divBdr>
            <w:top w:val="none" w:sz="0" w:space="0" w:color="auto"/>
            <w:left w:val="none" w:sz="0" w:space="0" w:color="auto"/>
            <w:bottom w:val="none" w:sz="0" w:space="0" w:color="auto"/>
            <w:right w:val="none" w:sz="0" w:space="0" w:color="auto"/>
          </w:divBdr>
        </w:div>
      </w:divsChild>
    </w:div>
    <w:div w:id="1028143761">
      <w:bodyDiv w:val="1"/>
      <w:marLeft w:val="0"/>
      <w:marRight w:val="0"/>
      <w:marTop w:val="0"/>
      <w:marBottom w:val="0"/>
      <w:divBdr>
        <w:top w:val="none" w:sz="0" w:space="0" w:color="auto"/>
        <w:left w:val="none" w:sz="0" w:space="0" w:color="auto"/>
        <w:bottom w:val="none" w:sz="0" w:space="0" w:color="auto"/>
        <w:right w:val="none" w:sz="0" w:space="0" w:color="auto"/>
      </w:divBdr>
    </w:div>
    <w:div w:id="2078671314">
      <w:bodyDiv w:val="1"/>
      <w:marLeft w:val="0"/>
      <w:marRight w:val="0"/>
      <w:marTop w:val="0"/>
      <w:marBottom w:val="0"/>
      <w:divBdr>
        <w:top w:val="none" w:sz="0" w:space="0" w:color="auto"/>
        <w:left w:val="none" w:sz="0" w:space="0" w:color="auto"/>
        <w:bottom w:val="none" w:sz="0" w:space="0" w:color="auto"/>
        <w:right w:val="none" w:sz="0" w:space="0" w:color="auto"/>
      </w:divBdr>
      <w:divsChild>
        <w:div w:id="1744641128">
          <w:marLeft w:val="0"/>
          <w:marRight w:val="0"/>
          <w:marTop w:val="0"/>
          <w:marBottom w:val="0"/>
          <w:divBdr>
            <w:top w:val="none" w:sz="0" w:space="0" w:color="auto"/>
            <w:left w:val="none" w:sz="0" w:space="0" w:color="auto"/>
            <w:bottom w:val="none" w:sz="0" w:space="0" w:color="auto"/>
            <w:right w:val="none" w:sz="0" w:space="0" w:color="auto"/>
          </w:divBdr>
        </w:div>
        <w:div w:id="1294949181">
          <w:marLeft w:val="0"/>
          <w:marRight w:val="0"/>
          <w:marTop w:val="0"/>
          <w:marBottom w:val="0"/>
          <w:divBdr>
            <w:top w:val="none" w:sz="0" w:space="0" w:color="auto"/>
            <w:left w:val="none" w:sz="0" w:space="0" w:color="auto"/>
            <w:bottom w:val="none" w:sz="0" w:space="0" w:color="auto"/>
            <w:right w:val="none" w:sz="0" w:space="0" w:color="auto"/>
          </w:divBdr>
        </w:div>
        <w:div w:id="1309280706">
          <w:marLeft w:val="0"/>
          <w:marRight w:val="0"/>
          <w:marTop w:val="0"/>
          <w:marBottom w:val="0"/>
          <w:divBdr>
            <w:top w:val="none" w:sz="0" w:space="0" w:color="auto"/>
            <w:left w:val="none" w:sz="0" w:space="0" w:color="auto"/>
            <w:bottom w:val="none" w:sz="0" w:space="0" w:color="auto"/>
            <w:right w:val="none" w:sz="0" w:space="0" w:color="auto"/>
          </w:divBdr>
        </w:div>
        <w:div w:id="1875388369">
          <w:marLeft w:val="0"/>
          <w:marRight w:val="0"/>
          <w:marTop w:val="0"/>
          <w:marBottom w:val="0"/>
          <w:divBdr>
            <w:top w:val="none" w:sz="0" w:space="0" w:color="auto"/>
            <w:left w:val="none" w:sz="0" w:space="0" w:color="auto"/>
            <w:bottom w:val="none" w:sz="0" w:space="0" w:color="auto"/>
            <w:right w:val="none" w:sz="0" w:space="0" w:color="auto"/>
          </w:divBdr>
        </w:div>
        <w:div w:id="600575246">
          <w:marLeft w:val="0"/>
          <w:marRight w:val="0"/>
          <w:marTop w:val="0"/>
          <w:marBottom w:val="0"/>
          <w:divBdr>
            <w:top w:val="none" w:sz="0" w:space="0" w:color="auto"/>
            <w:left w:val="none" w:sz="0" w:space="0" w:color="auto"/>
            <w:bottom w:val="none" w:sz="0" w:space="0" w:color="auto"/>
            <w:right w:val="none" w:sz="0" w:space="0" w:color="auto"/>
          </w:divBdr>
        </w:div>
        <w:div w:id="1773814763">
          <w:marLeft w:val="0"/>
          <w:marRight w:val="0"/>
          <w:marTop w:val="0"/>
          <w:marBottom w:val="0"/>
          <w:divBdr>
            <w:top w:val="none" w:sz="0" w:space="0" w:color="auto"/>
            <w:left w:val="none" w:sz="0" w:space="0" w:color="auto"/>
            <w:bottom w:val="none" w:sz="0" w:space="0" w:color="auto"/>
            <w:right w:val="none" w:sz="0" w:space="0" w:color="auto"/>
          </w:divBdr>
        </w:div>
        <w:div w:id="1031957207">
          <w:marLeft w:val="0"/>
          <w:marRight w:val="0"/>
          <w:marTop w:val="0"/>
          <w:marBottom w:val="0"/>
          <w:divBdr>
            <w:top w:val="none" w:sz="0" w:space="0" w:color="auto"/>
            <w:left w:val="none" w:sz="0" w:space="0" w:color="auto"/>
            <w:bottom w:val="none" w:sz="0" w:space="0" w:color="auto"/>
            <w:right w:val="none" w:sz="0" w:space="0" w:color="auto"/>
          </w:divBdr>
        </w:div>
        <w:div w:id="1483351833">
          <w:marLeft w:val="0"/>
          <w:marRight w:val="0"/>
          <w:marTop w:val="0"/>
          <w:marBottom w:val="0"/>
          <w:divBdr>
            <w:top w:val="none" w:sz="0" w:space="0" w:color="auto"/>
            <w:left w:val="none" w:sz="0" w:space="0" w:color="auto"/>
            <w:bottom w:val="none" w:sz="0" w:space="0" w:color="auto"/>
            <w:right w:val="none" w:sz="0" w:space="0" w:color="auto"/>
          </w:divBdr>
        </w:div>
        <w:div w:id="185339314">
          <w:marLeft w:val="0"/>
          <w:marRight w:val="0"/>
          <w:marTop w:val="0"/>
          <w:marBottom w:val="0"/>
          <w:divBdr>
            <w:top w:val="none" w:sz="0" w:space="0" w:color="auto"/>
            <w:left w:val="none" w:sz="0" w:space="0" w:color="auto"/>
            <w:bottom w:val="none" w:sz="0" w:space="0" w:color="auto"/>
            <w:right w:val="none" w:sz="0" w:space="0" w:color="auto"/>
          </w:divBdr>
        </w:div>
        <w:div w:id="52854143">
          <w:marLeft w:val="0"/>
          <w:marRight w:val="0"/>
          <w:marTop w:val="0"/>
          <w:marBottom w:val="0"/>
          <w:divBdr>
            <w:top w:val="none" w:sz="0" w:space="0" w:color="auto"/>
            <w:left w:val="none" w:sz="0" w:space="0" w:color="auto"/>
            <w:bottom w:val="none" w:sz="0" w:space="0" w:color="auto"/>
            <w:right w:val="none" w:sz="0" w:space="0" w:color="auto"/>
          </w:divBdr>
        </w:div>
        <w:div w:id="390544779">
          <w:marLeft w:val="0"/>
          <w:marRight w:val="0"/>
          <w:marTop w:val="0"/>
          <w:marBottom w:val="0"/>
          <w:divBdr>
            <w:top w:val="none" w:sz="0" w:space="0" w:color="auto"/>
            <w:left w:val="none" w:sz="0" w:space="0" w:color="auto"/>
            <w:bottom w:val="none" w:sz="0" w:space="0" w:color="auto"/>
            <w:right w:val="none" w:sz="0" w:space="0" w:color="auto"/>
          </w:divBdr>
        </w:div>
        <w:div w:id="328945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bg-dr.pr.gov/recursos/revision-ambienta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vironmentcdbg@vivienda.pr.gov" TargetMode="External"/><Relationship Id="rId5" Type="http://schemas.openxmlformats.org/officeDocument/2006/relationships/styles" Target="styles.xml"/><Relationship Id="rId10" Type="http://schemas.openxmlformats.org/officeDocument/2006/relationships/hyperlink" Target="https://cdbg-dr.pr.gov/en/resources/environmental-review/" TargetMode="External"/><Relationship Id="rId4" Type="http://schemas.openxmlformats.org/officeDocument/2006/relationships/numbering" Target="numbering.xml"/><Relationship Id="rId9" Type="http://schemas.openxmlformats.org/officeDocument/2006/relationships/hyperlink" Target="mailto:environmentcdbg@vivienda.p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ea520e-bf34-4e98-a1d0-fe474a913a6a">
      <Terms xmlns="http://schemas.microsoft.com/office/infopath/2007/PartnerControls"/>
    </lcf76f155ced4ddcb4097134ff3c332f>
    <TaxCatchAll xmlns="e98da306-844e-4308-915f-a3ee9b246e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8B7B566F59844F9E1970B84973E1DA" ma:contentTypeVersion="14" ma:contentTypeDescription="Create a new document." ma:contentTypeScope="" ma:versionID="4eb2c6a938525aa47382cb5a664de5be">
  <xsd:schema xmlns:xsd="http://www.w3.org/2001/XMLSchema" xmlns:xs="http://www.w3.org/2001/XMLSchema" xmlns:p="http://schemas.microsoft.com/office/2006/metadata/properties" xmlns:ns2="31ea520e-bf34-4e98-a1d0-fe474a913a6a" xmlns:ns3="e98da306-844e-4308-915f-a3ee9b246ed6" targetNamespace="http://schemas.microsoft.com/office/2006/metadata/properties" ma:root="true" ma:fieldsID="4e846cecb6b26e5ced48471137bbcf57" ns2:_="" ns3:_="">
    <xsd:import namespace="31ea520e-bf34-4e98-a1d0-fe474a913a6a"/>
    <xsd:import namespace="e98da306-844e-4308-915f-a3ee9b246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520e-bf34-4e98-a1d0-fe474a913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dbb1c4-2de4-4844-af95-f2d6fcd1b8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8da306-844e-4308-915f-a3ee9b246e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562777-9902-4d90-a5b1-1cdbea9620ed}" ma:internalName="TaxCatchAll" ma:showField="CatchAllData" ma:web="e98da306-844e-4308-915f-a3ee9b246e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BB1DF-1E76-44D0-B0C6-F53AFDDEFAAC}">
  <ds:schemaRefs>
    <ds:schemaRef ds:uri="http://schemas.microsoft.com/sharepoint/v3/contenttype/forms"/>
  </ds:schemaRefs>
</ds:datastoreItem>
</file>

<file path=customXml/itemProps2.xml><?xml version="1.0" encoding="utf-8"?>
<ds:datastoreItem xmlns:ds="http://schemas.openxmlformats.org/officeDocument/2006/customXml" ds:itemID="{2EEB910B-8385-40A2-A260-1899B316BF14}">
  <ds:schemaRefs>
    <ds:schemaRef ds:uri="http://schemas.microsoft.com/office/2006/documentManagement/types"/>
    <ds:schemaRef ds:uri="e8607dab-7e1a-4241-9d18-e251e6c2be2b"/>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4cccec57-8be5-4915-a228-3f49f4efc0e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96CED07-C269-4335-A28A-8B975F269131}"/>
</file>

<file path=docProps/app.xml><?xml version="1.0" encoding="utf-8"?>
<Properties xmlns="http://schemas.openxmlformats.org/officeDocument/2006/extended-properties" xmlns:vt="http://schemas.openxmlformats.org/officeDocument/2006/docPropsVTypes">
  <Template>Normal</Template>
  <TotalTime>1</TotalTime>
  <Pages>3</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Maytte Texidor Lopez</dc:creator>
  <cp:keywords/>
  <dc:description/>
  <cp:lastModifiedBy>Angel G. Lopez-Guzman</cp:lastModifiedBy>
  <cp:revision>2</cp:revision>
  <dcterms:created xsi:type="dcterms:W3CDTF">2023-05-22T20:54:00Z</dcterms:created>
  <dcterms:modified xsi:type="dcterms:W3CDTF">2023-05-22T20:54:00Z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0x010100688B7B566F59844F9E1970B84973E1DA</vt:lpwstr>
  </property>
</Properties>
</file>